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4"/>
        <w:gridCol w:w="311"/>
        <w:gridCol w:w="1844"/>
        <w:gridCol w:w="1222"/>
        <w:gridCol w:w="1523"/>
        <w:gridCol w:w="1823"/>
        <w:gridCol w:w="1009"/>
      </w:tblGrid>
      <w:tr w:rsidR="00D11AAF" w:rsidRPr="00D11AAF" w:rsidTr="009E1FD6">
        <w:trPr>
          <w:tblHeader/>
        </w:trPr>
        <w:tc>
          <w:tcPr>
            <w:tcW w:w="3715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21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9E1FD6">
        <w:trPr>
          <w:tblHeader/>
        </w:trPr>
        <w:tc>
          <w:tcPr>
            <w:tcW w:w="3715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D83D11" w:rsidP="009E1FD6">
            <w:pPr>
              <w:pStyle w:val="berschrift1"/>
              <w:outlineLvl w:val="0"/>
              <w:rPr>
                <w:rFonts w:cs="Arial"/>
                <w:b/>
                <w:sz w:val="24"/>
                <w:szCs w:val="24"/>
              </w:rPr>
            </w:pPr>
            <w:r w:rsidRPr="009E1FD6">
              <w:rPr>
                <w:b/>
                <w:sz w:val="24"/>
                <w:szCs w:val="24"/>
              </w:rPr>
              <w:t>Hubarbeitsbühne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9E1FD6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Umsturz der Hubarbeitsbühne.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Quetschungen an hydraulisch betriebenen Teilen sowie dem Arbeitskorb und anderen Gegenständen.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Absturz.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Stromschlag bei Arbeiten an stromführenden Leitungen.</w:t>
            </w:r>
          </w:p>
          <w:p w:rsidR="00B245E3" w:rsidRPr="00B245E3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Herabfallende Gegenstände.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B04D26" w:rsidP="00F55FE2">
            <w:pPr>
              <w:rPr>
                <w:rFonts w:ascii="Arial" w:hAnsi="Arial" w:cs="Arial"/>
              </w:rPr>
            </w:pPr>
          </w:p>
          <w:p w:rsidR="00D83D11" w:rsidRDefault="00D83D11" w:rsidP="00F55FE2">
            <w:pPr>
              <w:rPr>
                <w:rFonts w:ascii="Arial" w:hAnsi="Arial" w:cs="Arial"/>
              </w:rPr>
            </w:pPr>
          </w:p>
          <w:p w:rsidR="00D83D11" w:rsidRPr="00D83D11" w:rsidRDefault="00D83D11" w:rsidP="00D83D11">
            <w:pPr>
              <w:rPr>
                <w:rFonts w:ascii="Arial" w:hAnsi="Arial" w:cs="Arial"/>
              </w:rPr>
            </w:pPr>
          </w:p>
          <w:p w:rsidR="00D83D11" w:rsidRPr="00D83D11" w:rsidRDefault="00D83D11" w:rsidP="00D83D11">
            <w:pPr>
              <w:rPr>
                <w:rFonts w:ascii="Arial" w:hAnsi="Arial" w:cs="Arial"/>
              </w:rPr>
            </w:pPr>
          </w:p>
          <w:p w:rsidR="00D83D11" w:rsidRPr="00D83D11" w:rsidRDefault="00D83D11" w:rsidP="00D83D11">
            <w:pPr>
              <w:rPr>
                <w:rFonts w:ascii="Arial" w:hAnsi="Arial" w:cs="Arial"/>
              </w:rPr>
            </w:pPr>
          </w:p>
          <w:p w:rsidR="00D83D11" w:rsidRPr="00D83D11" w:rsidRDefault="00D83D11" w:rsidP="00D83D11">
            <w:pPr>
              <w:rPr>
                <w:rFonts w:ascii="Arial" w:hAnsi="Arial" w:cs="Arial"/>
              </w:rPr>
            </w:pPr>
          </w:p>
          <w:p w:rsidR="00D83D11" w:rsidRDefault="00D83D11" w:rsidP="00D83D11">
            <w:pPr>
              <w:rPr>
                <w:rFonts w:ascii="Arial" w:hAnsi="Arial" w:cs="Arial"/>
              </w:rPr>
            </w:pPr>
          </w:p>
          <w:p w:rsidR="00D83D11" w:rsidRPr="00D83D11" w:rsidRDefault="00D83D11" w:rsidP="00D83D11">
            <w:pPr>
              <w:rPr>
                <w:rFonts w:ascii="Arial" w:hAnsi="Arial" w:cs="Arial"/>
              </w:rPr>
            </w:pPr>
          </w:p>
          <w:p w:rsidR="00D83D11" w:rsidRDefault="00D83D11" w:rsidP="00D83D11">
            <w:pPr>
              <w:rPr>
                <w:rFonts w:ascii="Arial" w:hAnsi="Arial" w:cs="Arial"/>
              </w:rPr>
            </w:pPr>
          </w:p>
          <w:p w:rsidR="00B0067C" w:rsidRDefault="00B0067C" w:rsidP="00D83D11">
            <w:pPr>
              <w:rPr>
                <w:rFonts w:ascii="Arial" w:hAnsi="Arial" w:cs="Arial"/>
              </w:rPr>
            </w:pPr>
          </w:p>
          <w:p w:rsidR="00B0067C" w:rsidRDefault="00B0067C" w:rsidP="00D83D11">
            <w:pPr>
              <w:rPr>
                <w:rFonts w:ascii="Arial" w:hAnsi="Arial" w:cs="Arial"/>
              </w:rPr>
            </w:pPr>
          </w:p>
          <w:p w:rsidR="00B0067C" w:rsidRDefault="00B0067C" w:rsidP="00D83D11">
            <w:pPr>
              <w:rPr>
                <w:rFonts w:ascii="Arial" w:hAnsi="Arial" w:cs="Arial"/>
              </w:rPr>
            </w:pPr>
          </w:p>
          <w:p w:rsidR="00B0067C" w:rsidRDefault="00B0067C" w:rsidP="00D83D11">
            <w:pPr>
              <w:rPr>
                <w:rFonts w:ascii="Arial" w:hAnsi="Arial" w:cs="Arial"/>
              </w:rPr>
            </w:pPr>
          </w:p>
          <w:p w:rsidR="00B0067C" w:rsidRDefault="00B0067C" w:rsidP="00D83D11">
            <w:pPr>
              <w:rPr>
                <w:rFonts w:ascii="Arial" w:hAnsi="Arial" w:cs="Arial"/>
              </w:rPr>
            </w:pPr>
          </w:p>
          <w:p w:rsidR="00D83D11" w:rsidRDefault="00D83D11" w:rsidP="00D83D11">
            <w:pPr>
              <w:rPr>
                <w:rFonts w:ascii="Arial" w:hAnsi="Arial" w:cs="Arial"/>
              </w:rPr>
            </w:pPr>
          </w:p>
          <w:p w:rsidR="00F55FE2" w:rsidRPr="00D83D11" w:rsidRDefault="009E1FD6" w:rsidP="00D83D11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6B3E3B" wp14:editId="6465ED76">
                  <wp:extent cx="504000" cy="504000"/>
                  <wp:effectExtent l="0" t="0" r="0" b="0"/>
                  <wp:docPr id="5" name="Bild 5" descr="M002: Gebrauchsanweisung bea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2: Gebrauchsanweisung be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9E1FD6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9E1FD6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Die Unfallverhütungsvorschriften und die Bedienungsanleitung des Herstellers werden beachtet und befolgt.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Hubarbeitsbühnen dürfen nur von unterwiesenen Personen bedient werden.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Bedienpersonen sind mindestens 18 Jahre alt, vom Unternehmer schriftlich beauftragt </w:t>
            </w:r>
          </w:p>
          <w:p w:rsidR="00D83D11" w:rsidRPr="00D35017" w:rsidRDefault="00D83D11" w:rsidP="000979AE">
            <w:pPr>
              <w:pStyle w:val="Listenabsatz"/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und haben ihre Befähigung nachgewiesen.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Die Bedienungsanleitung des Herstellers sowie das </w:t>
            </w:r>
            <w:proofErr w:type="spellStart"/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Prüfbuch</w:t>
            </w:r>
            <w:proofErr w:type="spellEnd"/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der Hubarbeitsbühne werden bei jedem Einsatz mitgeführt.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Bei entliehenen Geräten werden die Bedienpersonen vom Verleiher unterwiesen (Dokumentation).</w:t>
            </w:r>
          </w:p>
          <w:p w:rsidR="00D83D11" w:rsidRPr="000979AE" w:rsidRDefault="00D83D11" w:rsidP="0030195D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0979A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Vor Arbeitsbeginn Sicherheits- und Schutzeinrichtungen auf ordnungsgemäßen Zustand und Funktion </w:t>
            </w:r>
            <w:r w:rsidR="000979A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kontrollieren</w:t>
            </w:r>
            <w:r w:rsidRPr="000979A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: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Eine zweite Person befindet sich in Rufweite.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Die zweite Person ist unterwiesen und in der Lage den Notablass zu bedienen.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Die Hubarbeitsbühne ist mit der erforderlichen Zusatzausrüstung ausgestattet (z. B. Trenngitter, spannbares Material der oberen Korbbegrenzung, Unterlegbohlen).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Hubarbeitsbühnen werden nach Herstellerangaben sicher aufgestellt (u. a. Boden- und Windverhältnisse beachten).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Der Gefahrenbereich der Hubarbeitsbühne wird von Personen freigehalten.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Bei Arbeiten im öffentlichen Verkehrsraum ist die Arbeitsstelle nach Musterbeschilderungsplan abgesichert.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Beim Betrieb werden die maximalen Belastbarkeiten der Hubarbeitsbühne beachtet (z. B. bei Baumarbeiten kein Material in den Arbeitskorb aufnehmen).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bookmarkStart w:id="0" w:name="_GoBack"/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Standplatz auf der Hubarbeitsbühne nicht erhöhen, nicht hinausbeugen.</w:t>
            </w:r>
          </w:p>
          <w:bookmarkEnd w:id="0"/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Bei Arbeiten in der Nähe von stromführenden Leitungen:</w:t>
            </w:r>
          </w:p>
          <w:p w:rsidR="00D83D11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Stromführende Leitung durch den Energieversorger frei schalten lassen.</w:t>
            </w:r>
          </w:p>
          <w:p w:rsidR="00F55FE2" w:rsidRPr="00D35017" w:rsidRDefault="00D83D11" w:rsidP="00D35017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Sicherheitsabstand zu stromführenden Leitungen einhalten (bei unbekannter Spannung mind. 5 m).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>Ggf. Notablass betätigen.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>Bei Fehlfunktionen oder nicht ordnungsgemäßem Zustand der Hubarbeitsbühne, Arbeiten einstellen und Gerät nicht weiter verwenden.</w:t>
            </w:r>
          </w:p>
          <w:p w:rsidR="00B04D26" w:rsidRPr="00B04D26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>Festgestellte Mängel sofort Vorgesetzten (ggf. dem Verleiher) melden.</w:t>
            </w:r>
          </w:p>
        </w:tc>
      </w:tr>
      <w:tr w:rsidR="00B01842" w:rsidRPr="00D11AAF" w:rsidTr="009E1FD6">
        <w:tc>
          <w:tcPr>
            <w:tcW w:w="8304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9E1FD6">
        <w:tc>
          <w:tcPr>
            <w:tcW w:w="3404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7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6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FD6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9E1FD6" w:rsidRPr="00D35017" w:rsidRDefault="009E1FD6" w:rsidP="009E1FD6">
            <w:pPr>
              <w:rPr>
                <w:rFonts w:cs="Arial"/>
                <w:sz w:val="21"/>
                <w:szCs w:val="21"/>
              </w:rPr>
            </w:pPr>
          </w:p>
          <w:p w:rsidR="009E1FD6" w:rsidRPr="00D35017" w:rsidRDefault="009E1FD6" w:rsidP="00D3501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Ruhe bewahren, Unfallstelle sichern, eigene Sicherheit beachten!</w:t>
            </w:r>
          </w:p>
          <w:p w:rsidR="009E1FD6" w:rsidRPr="00D35017" w:rsidRDefault="009E1FD6" w:rsidP="00D3501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Notruf veranlassen (112)!</w:t>
            </w:r>
          </w:p>
          <w:p w:rsidR="009E1FD6" w:rsidRPr="00D35017" w:rsidRDefault="009E1FD6" w:rsidP="00D3501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Maschine abschalten und Verletzten ggf. aus dem Gefahrenbereich retten!</w:t>
            </w:r>
          </w:p>
          <w:p w:rsidR="009E1FD6" w:rsidRPr="00D35017" w:rsidRDefault="009E1FD6" w:rsidP="00D3501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Erste Hilfe leisten!</w:t>
            </w:r>
          </w:p>
          <w:p w:rsidR="009E1FD6" w:rsidRPr="00D35017" w:rsidRDefault="009E1FD6" w:rsidP="00D35017">
            <w:pPr>
              <w:pStyle w:val="Listenabsatz"/>
              <w:numPr>
                <w:ilvl w:val="0"/>
                <w:numId w:val="10"/>
              </w:numPr>
              <w:ind w:left="757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Vitalfunktionen prüfen und lebensrettende Maßnahmen (Seitenlage, Wiederbelebung usw.) einleiten.</w:t>
            </w:r>
          </w:p>
          <w:p w:rsidR="009E1FD6" w:rsidRPr="00D35017" w:rsidRDefault="009E1FD6" w:rsidP="00D35017">
            <w:pPr>
              <w:pStyle w:val="Listenabsatz"/>
              <w:numPr>
                <w:ilvl w:val="0"/>
                <w:numId w:val="10"/>
              </w:numPr>
              <w:ind w:left="757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9E1FD6" w:rsidRPr="00D35017" w:rsidRDefault="009E1FD6" w:rsidP="00D35017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hAnsi="Arial" w:cs="Arial"/>
                <w:sz w:val="21"/>
                <w:szCs w:val="21"/>
              </w:rPr>
              <w:t>Entstehungsbrände mit geeignetem Löschmittel bekämpfen – Notruf 112!</w:t>
            </w:r>
          </w:p>
          <w:p w:rsidR="009E1FD6" w:rsidRPr="005E6026" w:rsidRDefault="009E1FD6" w:rsidP="009E1FD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>Die Angaben in der Bedienungsanleitung des Herstellers beachten und befolgen.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 xml:space="preserve">Vor Gebrauch </w:t>
            </w:r>
            <w:r w:rsidR="000979AE">
              <w:rPr>
                <w:rFonts w:ascii="Arial" w:hAnsi="Arial"/>
                <w:sz w:val="21"/>
                <w:szCs w:val="21"/>
              </w:rPr>
              <w:t>denn allgemeinen Zustand der Hubarbeitsbühne kontrollieren</w:t>
            </w:r>
            <w:r w:rsidRPr="00D35017">
              <w:rPr>
                <w:rFonts w:ascii="Arial" w:hAnsi="Arial"/>
                <w:sz w:val="21"/>
                <w:szCs w:val="21"/>
              </w:rPr>
              <w:t>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 xml:space="preserve">Funktion und Vollständigkeit der Sicherheits- und Schutzeinrichtungen </w:t>
            </w:r>
            <w:r w:rsidR="000979AE">
              <w:rPr>
                <w:rFonts w:ascii="Arial" w:hAnsi="Arial"/>
                <w:sz w:val="21"/>
                <w:szCs w:val="21"/>
              </w:rPr>
              <w:t>kontrollieren</w:t>
            </w:r>
            <w:r w:rsidRPr="00D35017">
              <w:rPr>
                <w:rFonts w:ascii="Arial" w:hAnsi="Arial"/>
                <w:sz w:val="21"/>
                <w:szCs w:val="21"/>
              </w:rPr>
              <w:t>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>Reparaturen an der Hubarbeitsbühne werden nur von befähigten Personen durchgeführt.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>Prüfung der Hubarbeitsbühne nach Herstellerangaben (</w:t>
            </w:r>
            <w:proofErr w:type="spellStart"/>
            <w:r w:rsidRPr="00D35017">
              <w:rPr>
                <w:rFonts w:ascii="Arial" w:hAnsi="Arial"/>
                <w:sz w:val="21"/>
                <w:szCs w:val="21"/>
              </w:rPr>
              <w:t>Prüfbuch</w:t>
            </w:r>
            <w:proofErr w:type="spellEnd"/>
            <w:r w:rsidRPr="00D35017">
              <w:rPr>
                <w:rFonts w:ascii="Arial" w:hAnsi="Arial"/>
                <w:sz w:val="21"/>
                <w:szCs w:val="21"/>
              </w:rPr>
              <w:t xml:space="preserve"> führen).</w:t>
            </w:r>
          </w:p>
          <w:p w:rsidR="00D83D11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>Arbeitsbühne bei Instandsetzungsarbeiten gegen unbeabsichtigtes Absinken sichern.</w:t>
            </w:r>
          </w:p>
          <w:p w:rsidR="00F55FE2" w:rsidRPr="00D35017" w:rsidRDefault="00D83D11" w:rsidP="00D3501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35017">
              <w:rPr>
                <w:rFonts w:ascii="Arial" w:hAnsi="Arial"/>
                <w:sz w:val="21"/>
                <w:szCs w:val="21"/>
              </w:rPr>
              <w:t>Hydraulikschläuche mindestens einmal jährlich auf Verschleiß prüfen.</w:t>
            </w:r>
          </w:p>
        </w:tc>
      </w:tr>
      <w:tr w:rsidR="00612F6F" w:rsidRPr="00D11AAF" w:rsidTr="009E1FD6">
        <w:tc>
          <w:tcPr>
            <w:tcW w:w="5559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7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9"/>
      <w:footerReference w:type="first" r:id="rId10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3501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3501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674FA6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B2450D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B2450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B2450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CA4C18"/>
    <w:multiLevelType w:val="hybridMultilevel"/>
    <w:tmpl w:val="0BE6F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35A2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70E2F"/>
    <w:rsid w:val="000979AE"/>
    <w:rsid w:val="000A1D03"/>
    <w:rsid w:val="000C0100"/>
    <w:rsid w:val="001973F1"/>
    <w:rsid w:val="001A1F39"/>
    <w:rsid w:val="00316EC3"/>
    <w:rsid w:val="0034486D"/>
    <w:rsid w:val="00385018"/>
    <w:rsid w:val="003A198A"/>
    <w:rsid w:val="003B532E"/>
    <w:rsid w:val="003C36B3"/>
    <w:rsid w:val="003F28D2"/>
    <w:rsid w:val="004906F0"/>
    <w:rsid w:val="0055460E"/>
    <w:rsid w:val="00587B8C"/>
    <w:rsid w:val="00612F6F"/>
    <w:rsid w:val="00674FA6"/>
    <w:rsid w:val="006C6FAE"/>
    <w:rsid w:val="00791852"/>
    <w:rsid w:val="007B144E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9E1FD6"/>
    <w:rsid w:val="00A924C8"/>
    <w:rsid w:val="00A93114"/>
    <w:rsid w:val="00AC0B79"/>
    <w:rsid w:val="00B0067C"/>
    <w:rsid w:val="00B01842"/>
    <w:rsid w:val="00B04D26"/>
    <w:rsid w:val="00B2450D"/>
    <w:rsid w:val="00B245E3"/>
    <w:rsid w:val="00C27756"/>
    <w:rsid w:val="00C576E1"/>
    <w:rsid w:val="00CB775A"/>
    <w:rsid w:val="00D11AAF"/>
    <w:rsid w:val="00D35017"/>
    <w:rsid w:val="00D83D11"/>
    <w:rsid w:val="00E271F2"/>
    <w:rsid w:val="00E8380C"/>
    <w:rsid w:val="00F07343"/>
    <w:rsid w:val="00F55FE2"/>
    <w:rsid w:val="00F831EF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D8E3B0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83D11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83D11"/>
    <w:rPr>
      <w:rFonts w:ascii="Arial" w:eastAsia="Times New Roman" w:hAnsi="Arial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Hubarbeitsbuehne</vt:lpstr>
    </vt:vector>
  </TitlesOfParts>
  <Company>SVLFG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Hubarbeitsbuehne</dc:title>
  <dc:subject/>
  <dc:creator/>
  <cp:keywords/>
  <dc:description/>
  <cp:lastModifiedBy>Huber, Michael</cp:lastModifiedBy>
  <cp:revision>3</cp:revision>
  <cp:lastPrinted>2020-11-26T10:37:00Z</cp:lastPrinted>
  <dcterms:created xsi:type="dcterms:W3CDTF">2023-03-16T08:57:00Z</dcterms:created>
  <dcterms:modified xsi:type="dcterms:W3CDTF">2023-04-14T06:03:00Z</dcterms:modified>
</cp:coreProperties>
</file>