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7D8D" w14:textId="77777777" w:rsidR="00F37361" w:rsidRPr="00F37361" w:rsidRDefault="00F37361" w:rsidP="00F37361">
      <w:pPr>
        <w:spacing w:after="0" w:line="276" w:lineRule="auto"/>
        <w:jc w:val="center"/>
        <w:rPr>
          <w:rFonts w:ascii="Arial Narrow" w:hAnsi="Arial Narrow"/>
          <w:sz w:val="12"/>
          <w:szCs w:val="12"/>
        </w:rPr>
      </w:pPr>
    </w:p>
    <w:p w14:paraId="23BC76EB" w14:textId="49BE1881" w:rsidR="00F37361" w:rsidRPr="00C05497" w:rsidRDefault="00F37361" w:rsidP="00F37361">
      <w:pPr>
        <w:spacing w:after="0" w:line="276" w:lineRule="auto"/>
        <w:jc w:val="center"/>
        <w:rPr>
          <w:rFonts w:ascii="Arial Narrow" w:hAnsi="Arial Narrow"/>
          <w:sz w:val="40"/>
          <w:szCs w:val="40"/>
        </w:rPr>
      </w:pPr>
      <w:r w:rsidRPr="00C05497">
        <w:rPr>
          <w:rFonts w:ascii="Arial Narrow" w:hAnsi="Arial Narrow"/>
          <w:sz w:val="40"/>
          <w:szCs w:val="40"/>
        </w:rPr>
        <w:t xml:space="preserve">Grundsätze und Hilfe für Antragsteller zur </w:t>
      </w:r>
      <w:r w:rsidR="006264EE">
        <w:rPr>
          <w:rFonts w:ascii="Arial Narrow" w:hAnsi="Arial Narrow"/>
          <w:sz w:val="40"/>
          <w:szCs w:val="40"/>
        </w:rPr>
        <w:br/>
      </w:r>
      <w:r w:rsidRPr="00C05497">
        <w:rPr>
          <w:rFonts w:ascii="Arial Narrow" w:hAnsi="Arial Narrow"/>
          <w:sz w:val="40"/>
          <w:szCs w:val="40"/>
        </w:rPr>
        <w:t>Fördermittelvergabe durch die LKK gemäß § 20a SGB V</w:t>
      </w:r>
    </w:p>
    <w:p w14:paraId="0BB11A2C" w14:textId="77777777" w:rsidR="00FF678B" w:rsidRPr="00FF678B" w:rsidRDefault="00FF678B" w:rsidP="00FF678B">
      <w:pPr>
        <w:pBdr>
          <w:bottom w:val="single" w:sz="4" w:space="1" w:color="auto"/>
        </w:pBdr>
        <w:autoSpaceDE w:val="0"/>
        <w:autoSpaceDN w:val="0"/>
        <w:adjustRightInd w:val="0"/>
        <w:spacing w:after="0" w:line="240" w:lineRule="auto"/>
        <w:jc w:val="center"/>
        <w:rPr>
          <w:rFonts w:ascii="Arial Narrow" w:hAnsi="Arial Narrow" w:cs="Arial"/>
          <w:color w:val="000000"/>
          <w:sz w:val="12"/>
          <w:szCs w:val="12"/>
        </w:rPr>
      </w:pPr>
    </w:p>
    <w:p w14:paraId="6F76E22B" w14:textId="231B5A3A" w:rsidR="00F37361" w:rsidRPr="00F37361" w:rsidRDefault="00F37361" w:rsidP="00F37361">
      <w:pPr>
        <w:spacing w:after="0" w:line="276" w:lineRule="auto"/>
        <w:rPr>
          <w:rFonts w:ascii="Arial" w:hAnsi="Arial"/>
          <w:b/>
        </w:rPr>
      </w:pPr>
    </w:p>
    <w:p w14:paraId="6B6138F0" w14:textId="77777777" w:rsidR="00F37361" w:rsidRPr="00F37361" w:rsidRDefault="00F37361" w:rsidP="00F37361">
      <w:pPr>
        <w:spacing w:after="0" w:line="276" w:lineRule="auto"/>
        <w:rPr>
          <w:rFonts w:ascii="Arial" w:hAnsi="Arial"/>
          <w:b/>
        </w:rPr>
      </w:pPr>
    </w:p>
    <w:p w14:paraId="3ECF7C17" w14:textId="77777777" w:rsidR="00F37361" w:rsidRPr="00F37361" w:rsidRDefault="00F37361" w:rsidP="00F37361">
      <w:pPr>
        <w:numPr>
          <w:ilvl w:val="0"/>
          <w:numId w:val="34"/>
        </w:numPr>
        <w:spacing w:after="0" w:line="276" w:lineRule="auto"/>
        <w:ind w:left="284" w:hanging="284"/>
        <w:contextualSpacing/>
        <w:rPr>
          <w:rFonts w:ascii="Arial" w:hAnsi="Arial"/>
          <w:b/>
          <w:sz w:val="24"/>
          <w:szCs w:val="24"/>
        </w:rPr>
      </w:pPr>
      <w:r w:rsidRPr="00F37361">
        <w:rPr>
          <w:rFonts w:ascii="Arial" w:hAnsi="Arial"/>
          <w:b/>
          <w:sz w:val="24"/>
          <w:szCs w:val="24"/>
        </w:rPr>
        <w:t>Allgemeines</w:t>
      </w:r>
    </w:p>
    <w:p w14:paraId="38D84A8F" w14:textId="77777777" w:rsidR="00F37361" w:rsidRPr="00F37361" w:rsidRDefault="00F37361" w:rsidP="00F37361">
      <w:pPr>
        <w:spacing w:after="0" w:line="276" w:lineRule="auto"/>
        <w:rPr>
          <w:rFonts w:ascii="Arial" w:hAnsi="Arial"/>
          <w:sz w:val="24"/>
          <w:szCs w:val="24"/>
        </w:rPr>
      </w:pPr>
    </w:p>
    <w:p w14:paraId="5CB11F5F" w14:textId="77777777" w:rsidR="00F37361" w:rsidRPr="00F37361" w:rsidRDefault="00F37361" w:rsidP="00F37361">
      <w:pPr>
        <w:numPr>
          <w:ilvl w:val="0"/>
          <w:numId w:val="31"/>
        </w:numPr>
        <w:spacing w:after="12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 xml:space="preserve">Die SVLFG als LKK kann im Rahmen ihrer gesetzlichen Aufgaben Projekte der Gesundheitsförderung und Prävention </w:t>
      </w:r>
      <w:r w:rsidRPr="00F37361">
        <w:rPr>
          <w:rFonts w:ascii="Arial" w:eastAsia="Times New Roman" w:hAnsi="Arial" w:cs="Arial"/>
          <w:b/>
          <w:color w:val="222222"/>
          <w:lang w:eastAsia="de-DE"/>
        </w:rPr>
        <w:t>in Lebenswelten</w:t>
      </w:r>
      <w:r w:rsidRPr="00F37361">
        <w:rPr>
          <w:rFonts w:ascii="Arial" w:eastAsia="Times New Roman" w:hAnsi="Arial" w:cs="Arial"/>
          <w:color w:val="222222"/>
          <w:lang w:eastAsia="de-DE"/>
        </w:rPr>
        <w:t>, insbesondere mit Themenbezug zur Grünen Branche fördern. Ein Schwerpunkt/Ziele des Projektes sollte/n zusätzlich auf einem oder mehreren der nachfolgenden Aspekte liegen:</w:t>
      </w:r>
    </w:p>
    <w:p w14:paraId="120D6E09"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Verminderung sozialbedingter Ungleichheit von Gesundheitschancen (z. B. erschwerter Zugang zu Gesundheitsangeboten im ländlichen Raum),</w:t>
      </w:r>
    </w:p>
    <w:p w14:paraId="2842FFAD"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Nachhaltige Verankerung von Gesundheitsförderung in Lebenswelten,</w:t>
      </w:r>
    </w:p>
    <w:p w14:paraId="2D57505D"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Umsetzung integrierter Konzepte im kommunalen Raum (z. B. Projekte unter Beteiligung von ehrenamtlich tätigen Personen),</w:t>
      </w:r>
    </w:p>
    <w:p w14:paraId="09B2C253"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Aufbau und Ausbau lebensweltübergreifender Präventionsketten und Bündelung von Aktivitäten (z. B. branchenspezifische Vernetzungen),</w:t>
      </w:r>
    </w:p>
    <w:p w14:paraId="29D5A905" w14:textId="77777777" w:rsidR="00F37361" w:rsidRPr="00F37361" w:rsidRDefault="00F37361" w:rsidP="00F37361">
      <w:pPr>
        <w:numPr>
          <w:ilvl w:val="0"/>
          <w:numId w:val="37"/>
        </w:numPr>
        <w:spacing w:after="12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Qualifizierung, Befähigung und Teilhabe unter Berücksichtigung interkultureller Kompetenz im Sinne des Empowerments und der Nachhaltigkeit,</w:t>
      </w:r>
    </w:p>
    <w:p w14:paraId="04C1E782" w14:textId="77777777" w:rsidR="00F37361" w:rsidRPr="00F37361" w:rsidRDefault="00F37361" w:rsidP="00F37361">
      <w:pPr>
        <w:numPr>
          <w:ilvl w:val="0"/>
          <w:numId w:val="37"/>
        </w:numPr>
        <w:spacing w:after="0" w:line="276" w:lineRule="auto"/>
        <w:ind w:left="720"/>
        <w:contextualSpacing/>
        <w:rPr>
          <w:rFonts w:ascii="Arial" w:eastAsia="Times New Roman" w:hAnsi="Arial" w:cs="Arial"/>
          <w:color w:val="222222"/>
          <w:lang w:eastAsia="de-DE"/>
        </w:rPr>
      </w:pPr>
      <w:r w:rsidRPr="00F37361">
        <w:rPr>
          <w:rFonts w:ascii="Arial" w:eastAsia="Times New Roman" w:hAnsi="Arial" w:cs="Arial"/>
          <w:color w:val="222222"/>
          <w:lang w:eastAsia="de-DE"/>
        </w:rPr>
        <w:t>Evaluation und Qualitätssicherung.</w:t>
      </w:r>
    </w:p>
    <w:p w14:paraId="1DDB0CAB" w14:textId="77777777" w:rsidR="00F37361" w:rsidRPr="00F37361" w:rsidRDefault="00F37361" w:rsidP="00F37361">
      <w:pPr>
        <w:spacing w:after="0" w:line="276" w:lineRule="auto"/>
        <w:ind w:left="-12"/>
        <w:rPr>
          <w:rFonts w:ascii="Arial" w:hAnsi="Arial"/>
          <w:sz w:val="24"/>
          <w:szCs w:val="24"/>
        </w:rPr>
      </w:pPr>
    </w:p>
    <w:p w14:paraId="7781B690" w14:textId="393E16AF" w:rsidR="00F37361" w:rsidRPr="00F37361" w:rsidRDefault="00F37361" w:rsidP="00F37361">
      <w:pPr>
        <w:numPr>
          <w:ilvl w:val="0"/>
          <w:numId w:val="31"/>
        </w:numPr>
        <w:spacing w:after="12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Die Leistungen der Krankenkassen zur Gesund</w:t>
      </w:r>
      <w:r w:rsidRPr="00F37361">
        <w:rPr>
          <w:rFonts w:ascii="Arial" w:eastAsia="Times New Roman" w:hAnsi="Arial" w:cs="Arial"/>
          <w:color w:val="222222"/>
          <w:lang w:eastAsia="de-DE"/>
        </w:rPr>
        <w:softHyphen/>
        <w:t>heitsförderung und Prävention in Lebenswelten gemäß § 20 Abs. 4 Nr. 2 SGB V sind in § 20a SGB V sowie im Leitfaden Prävention</w:t>
      </w:r>
      <w:r w:rsidRPr="00F37361">
        <w:rPr>
          <w:rFonts w:ascii="Arial" w:eastAsia="Times New Roman" w:hAnsi="Arial" w:cs="Arial"/>
          <w:color w:val="222222"/>
          <w:vertAlign w:val="superscript"/>
          <w:lang w:eastAsia="de-DE"/>
        </w:rPr>
        <w:footnoteReference w:id="1"/>
      </w:r>
      <w:r w:rsidRPr="00F37361">
        <w:rPr>
          <w:rFonts w:ascii="Arial" w:eastAsia="Times New Roman" w:hAnsi="Arial" w:cs="Arial"/>
          <w:color w:val="222222"/>
          <w:lang w:eastAsia="de-DE"/>
        </w:rPr>
        <w:t xml:space="preserve"> (Kapitel 4) geregelt.</w:t>
      </w:r>
      <w:r w:rsidRPr="00F37361">
        <w:rPr>
          <w:rFonts w:ascii="Arial" w:hAnsi="Arial" w:cs="Arial"/>
          <w:color w:val="222222"/>
        </w:rPr>
        <w:t xml:space="preserve"> Weitere Hinweise gibt der Leitfaden „Good Practice Kriterien“</w:t>
      </w:r>
      <w:r w:rsidRPr="00F37361">
        <w:rPr>
          <w:rFonts w:ascii="Arial" w:hAnsi="Arial" w:cs="Arial"/>
          <w:color w:val="222222"/>
          <w:vertAlign w:val="superscript"/>
        </w:rPr>
        <w:footnoteReference w:id="2"/>
      </w:r>
      <w:r w:rsidRPr="00F37361">
        <w:rPr>
          <w:rFonts w:ascii="Arial" w:hAnsi="Arial" w:cs="Arial"/>
          <w:color w:val="222222"/>
        </w:rPr>
        <w:t xml:space="preserve"> des Kooperationsverbundes für gesundheitliche Chancengleichheit aus. </w:t>
      </w:r>
    </w:p>
    <w:p w14:paraId="4645A63A" w14:textId="77777777" w:rsidR="00F37361" w:rsidRPr="00F37361" w:rsidRDefault="00F37361" w:rsidP="00F37361">
      <w:pPr>
        <w:spacing w:after="120" w:line="276" w:lineRule="auto"/>
        <w:contextualSpacing/>
        <w:rPr>
          <w:rFonts w:ascii="Arial" w:eastAsia="Times New Roman" w:hAnsi="Arial" w:cs="Arial"/>
          <w:color w:val="222222"/>
          <w:lang w:eastAsia="de-DE"/>
        </w:rPr>
      </w:pPr>
    </w:p>
    <w:p w14:paraId="7906D8E8" w14:textId="77777777" w:rsidR="00F37361" w:rsidRPr="00F37361" w:rsidRDefault="00F37361" w:rsidP="00F37361">
      <w:pPr>
        <w:spacing w:after="120" w:line="276" w:lineRule="auto"/>
        <w:ind w:left="348"/>
        <w:contextualSpacing/>
        <w:rPr>
          <w:rFonts w:ascii="Arial" w:eastAsia="Times New Roman" w:hAnsi="Arial" w:cs="Arial"/>
          <w:color w:val="222222"/>
          <w:lang w:eastAsia="de-DE"/>
        </w:rPr>
      </w:pPr>
      <w:r w:rsidRPr="00F37361">
        <w:rPr>
          <w:rFonts w:ascii="Arial" w:eastAsia="Times New Roman" w:hAnsi="Arial" w:cs="Arial"/>
          <w:color w:val="222222"/>
          <w:lang w:eastAsia="de-DE"/>
        </w:rPr>
        <w:t>Eine Förderung kommt ausschließlich bei Erfüllung der Vorgaben des Leitfadens Prävention in seiner jeweils gültigen Fassung in Betracht (siehe insbesondere Kapitel 4 des Leitfadens Prävention).</w:t>
      </w:r>
    </w:p>
    <w:p w14:paraId="16BC3452" w14:textId="77777777" w:rsidR="00F37361" w:rsidRPr="00F37361" w:rsidRDefault="00F37361" w:rsidP="00F37361">
      <w:pPr>
        <w:spacing w:after="120" w:line="276" w:lineRule="auto"/>
        <w:contextualSpacing/>
        <w:rPr>
          <w:rFonts w:ascii="Arial" w:eastAsia="Times New Roman" w:hAnsi="Arial" w:cs="Arial"/>
          <w:color w:val="222222"/>
          <w:lang w:eastAsia="de-DE"/>
        </w:rPr>
      </w:pPr>
    </w:p>
    <w:p w14:paraId="4D2FE0F7" w14:textId="77777777" w:rsidR="00F37361" w:rsidRPr="00F37361" w:rsidRDefault="00F37361" w:rsidP="00F37361">
      <w:pPr>
        <w:numPr>
          <w:ilvl w:val="0"/>
          <w:numId w:val="31"/>
        </w:numPr>
        <w:shd w:val="clear" w:color="auto" w:fill="FFFFFF"/>
        <w:spacing w:after="0" w:line="276" w:lineRule="auto"/>
        <w:ind w:left="360"/>
        <w:contextualSpacing/>
        <w:rPr>
          <w:rFonts w:ascii="Arial" w:hAnsi="Arial" w:cs="Arial"/>
          <w:color w:val="000000"/>
        </w:rPr>
      </w:pPr>
      <w:r w:rsidRPr="00F37361">
        <w:rPr>
          <w:rFonts w:ascii="Arial" w:eastAsia="Times New Roman" w:hAnsi="Arial" w:cs="Arial"/>
          <w:color w:val="222222"/>
          <w:lang w:eastAsia="de-DE"/>
        </w:rPr>
        <w:t xml:space="preserve">Grundsätzlich gilt, dass nur Aufwendungen gefördert werden können, die unmittelbar im Rahmen der Durchführung eines Projektes entstehen und die nicht Aufgabe anderer Träger beziehungsweise der Kommune sind. </w:t>
      </w:r>
      <w:r w:rsidRPr="00F37361">
        <w:rPr>
          <w:rFonts w:ascii="Arial" w:hAnsi="Arial" w:cs="Arial"/>
          <w:color w:val="000000"/>
        </w:rPr>
        <w:t>Eine Doppelfinanzierung ist nicht erlaubt.</w:t>
      </w:r>
    </w:p>
    <w:p w14:paraId="40D63FE4" w14:textId="77777777" w:rsidR="00F37361" w:rsidRPr="00F37361" w:rsidRDefault="00F37361" w:rsidP="00F37361">
      <w:pPr>
        <w:spacing w:after="0" w:line="276" w:lineRule="auto"/>
        <w:rPr>
          <w:rFonts w:ascii="Arial" w:hAnsi="Arial"/>
          <w:sz w:val="24"/>
          <w:szCs w:val="24"/>
        </w:rPr>
      </w:pPr>
    </w:p>
    <w:p w14:paraId="765DF7B3" w14:textId="77777777" w:rsidR="00F37361" w:rsidRPr="00F37361" w:rsidRDefault="00F37361" w:rsidP="00F37361">
      <w:pPr>
        <w:spacing w:after="0" w:line="276" w:lineRule="auto"/>
        <w:ind w:left="348"/>
        <w:rPr>
          <w:rFonts w:ascii="Arial" w:hAnsi="Arial"/>
          <w:u w:val="single"/>
        </w:rPr>
      </w:pPr>
      <w:r w:rsidRPr="00F37361">
        <w:rPr>
          <w:rFonts w:ascii="Arial" w:hAnsi="Arial"/>
          <w:u w:val="single"/>
        </w:rPr>
        <w:t>Förderkriterien:</w:t>
      </w:r>
    </w:p>
    <w:p w14:paraId="0DF4811F" w14:textId="77777777" w:rsidR="00F37361" w:rsidRPr="00F37361" w:rsidRDefault="00F37361" w:rsidP="00F37361">
      <w:pPr>
        <w:spacing w:after="0" w:line="276" w:lineRule="auto"/>
        <w:ind w:left="348"/>
        <w:rPr>
          <w:rFonts w:ascii="Arial" w:hAnsi="Arial"/>
          <w:sz w:val="12"/>
          <w:szCs w:val="12"/>
        </w:rPr>
      </w:pPr>
    </w:p>
    <w:p w14:paraId="780A35BC"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Für die geplanten Aktivitäten wird ein </w:t>
      </w:r>
      <w:r w:rsidRPr="00F37361">
        <w:rPr>
          <w:rFonts w:ascii="Arial" w:eastAsia="Times New Roman" w:hAnsi="Arial"/>
          <w:b/>
          <w:bCs/>
          <w:color w:val="222222"/>
          <w:lang w:eastAsia="de-DE"/>
        </w:rPr>
        <w:t>Bedarf</w:t>
      </w:r>
      <w:r w:rsidRPr="00F37361">
        <w:rPr>
          <w:rFonts w:ascii="Arial" w:eastAsia="Times New Roman" w:hAnsi="Arial" w:cs="Arial"/>
          <w:color w:val="222222"/>
          <w:lang w:eastAsia="de-DE"/>
        </w:rPr>
        <w:t> nachgewiesen. </w:t>
      </w:r>
    </w:p>
    <w:p w14:paraId="3ABC6555"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w:t>
      </w:r>
      <w:r w:rsidRPr="00F37361">
        <w:rPr>
          <w:rFonts w:ascii="Arial" w:eastAsia="Times New Roman" w:hAnsi="Arial"/>
          <w:b/>
          <w:bCs/>
          <w:color w:val="222222"/>
          <w:lang w:eastAsia="de-DE"/>
        </w:rPr>
        <w:t>Zielgruppen</w:t>
      </w:r>
      <w:r w:rsidRPr="00F37361">
        <w:rPr>
          <w:rFonts w:ascii="Arial" w:eastAsia="Times New Roman" w:hAnsi="Arial" w:cs="Arial"/>
          <w:color w:val="222222"/>
          <w:lang w:eastAsia="de-DE"/>
        </w:rPr>
        <w:t> werden unter besonderer Berücksichtigung sozial benachteiligter Personengruppen definiert.</w:t>
      </w:r>
    </w:p>
    <w:p w14:paraId="6888476B"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w:t>
      </w:r>
      <w:r w:rsidRPr="00F37361">
        <w:rPr>
          <w:rFonts w:ascii="Arial" w:eastAsia="Times New Roman" w:hAnsi="Arial"/>
          <w:b/>
          <w:bCs/>
          <w:color w:val="222222"/>
          <w:lang w:eastAsia="de-DE"/>
        </w:rPr>
        <w:t>Vielfalt/Diversität</w:t>
      </w:r>
      <w:r w:rsidRPr="00F37361">
        <w:rPr>
          <w:rFonts w:ascii="Arial" w:eastAsia="Times New Roman" w:hAnsi="Arial" w:cs="Arial"/>
          <w:color w:val="222222"/>
          <w:lang w:eastAsia="de-DE"/>
        </w:rPr>
        <w:t> der Zielgruppen wird berücksichtigt. </w:t>
      </w:r>
    </w:p>
    <w:p w14:paraId="4F28B008"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Vorhandene Strukturen, Einrichtungen, Netzwerke und Akteure, Finanzierungsträger (Drittmittel) im Setting werden ermittelt und möglichst genutzt bzw. eingebunden. Ressortübergreifende Strukturen werden gefördert (</w:t>
      </w:r>
      <w:r w:rsidRPr="00F37361">
        <w:rPr>
          <w:rFonts w:ascii="Arial" w:eastAsia="Times New Roman" w:hAnsi="Arial"/>
          <w:b/>
          <w:bCs/>
          <w:color w:val="222222"/>
          <w:lang w:eastAsia="de-DE"/>
        </w:rPr>
        <w:t>Partnerschaften</w:t>
      </w:r>
      <w:r w:rsidRPr="00F37361">
        <w:rPr>
          <w:rFonts w:ascii="Arial" w:eastAsia="Times New Roman" w:hAnsi="Arial" w:cs="Arial"/>
          <w:color w:val="222222"/>
          <w:lang w:eastAsia="de-DE"/>
        </w:rPr>
        <w:t>). </w:t>
      </w:r>
    </w:p>
    <w:p w14:paraId="66F60CC7"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In den gesamten Gesundheitsförderungsprozess sind die Zielgruppen aktiv einbezogen (</w:t>
      </w:r>
      <w:hyperlink r:id="rId8" w:tgtFrame="_blank" w:history="1">
        <w:r w:rsidRPr="00F37361">
          <w:rPr>
            <w:rFonts w:ascii="Arial" w:eastAsia="Times New Roman" w:hAnsi="Arial"/>
            <w:b/>
            <w:color w:val="222222"/>
            <w:lang w:eastAsia="de-DE"/>
          </w:rPr>
          <w:t>Partizipation</w:t>
        </w:r>
      </w:hyperlink>
      <w:r w:rsidRPr="00F37361">
        <w:rPr>
          <w:rFonts w:ascii="Arial" w:eastAsia="Times New Roman" w:hAnsi="Arial" w:cs="Arial"/>
          <w:color w:val="222222"/>
          <w:lang w:eastAsia="de-DE"/>
        </w:rPr>
        <w:t>).</w:t>
      </w:r>
    </w:p>
    <w:p w14:paraId="08552163"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lang w:eastAsia="de-DE"/>
        </w:rPr>
      </w:pPr>
      <w:r w:rsidRPr="00F37361">
        <w:rPr>
          <w:rFonts w:ascii="Arial" w:eastAsia="Times New Roman" w:hAnsi="Arial" w:cs="Arial"/>
          <w:lang w:eastAsia="de-DE"/>
        </w:rPr>
        <w:lastRenderedPageBreak/>
        <w:t>Die </w:t>
      </w:r>
      <w:r w:rsidRPr="00F37361">
        <w:rPr>
          <w:rFonts w:ascii="Arial" w:eastAsia="Times New Roman" w:hAnsi="Arial"/>
          <w:b/>
          <w:bCs/>
          <w:lang w:eastAsia="de-DE"/>
        </w:rPr>
        <w:t>Zieldefinition</w:t>
      </w:r>
      <w:r w:rsidRPr="00F37361">
        <w:rPr>
          <w:rFonts w:ascii="Arial" w:eastAsia="Times New Roman" w:hAnsi="Arial" w:cs="Arial"/>
          <w:lang w:eastAsia="de-DE"/>
        </w:rPr>
        <w:t> erfolgt möglichst operationalisiert; dabei sind der Verhältnis- und der Verhaltensbezug beachtet.</w:t>
      </w:r>
    </w:p>
    <w:p w14:paraId="44EE8671"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Ein </w:t>
      </w:r>
      <w:r w:rsidRPr="00F37361">
        <w:rPr>
          <w:rFonts w:ascii="Arial" w:eastAsia="Times New Roman" w:hAnsi="Arial"/>
          <w:b/>
          <w:bCs/>
          <w:color w:val="222222"/>
          <w:lang w:eastAsia="de-DE"/>
        </w:rPr>
        <w:t>Finanzierungskonzept</w:t>
      </w:r>
      <w:r w:rsidRPr="00F37361">
        <w:rPr>
          <w:rFonts w:ascii="Arial" w:eastAsia="Times New Roman" w:hAnsi="Arial" w:cs="Arial"/>
          <w:color w:val="222222"/>
          <w:lang w:eastAsia="de-DE"/>
        </w:rPr>
        <w:t> liegt vor, welches die Aktivitäten in allen Phasen des Gesundheitsförderungsprozesses umfasst. Insbesondere die für die Lebenswelt zuständigen Träger bringen einen angemessenen Anteil an Mitteln – auch in Form geldwerter Leistungen – in die Aktivitäten ein. </w:t>
      </w:r>
    </w:p>
    <w:p w14:paraId="0DA86EBA"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Partner informieren sich gegenseitig laufend über den jeweils aktuellen Sachstand (</w:t>
      </w:r>
      <w:r w:rsidRPr="00F37361">
        <w:rPr>
          <w:rFonts w:ascii="Arial" w:eastAsia="Times New Roman" w:hAnsi="Arial" w:cs="Arial"/>
          <w:b/>
          <w:color w:val="222222"/>
          <w:lang w:eastAsia="de-DE"/>
        </w:rPr>
        <w:t>Transparenz</w:t>
      </w:r>
      <w:r w:rsidRPr="00F37361">
        <w:rPr>
          <w:rFonts w:ascii="Arial" w:eastAsia="Times New Roman" w:hAnsi="Arial" w:cs="Arial"/>
          <w:color w:val="222222"/>
          <w:lang w:eastAsia="de-DE"/>
        </w:rPr>
        <w:t>). </w:t>
      </w:r>
    </w:p>
    <w:p w14:paraId="11AC889A"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b/>
          <w:bCs/>
          <w:color w:val="222222"/>
          <w:lang w:eastAsia="de-DE"/>
        </w:rPr>
        <w:t>Ausrichtung der Interventionen</w:t>
      </w:r>
      <w:r w:rsidRPr="00F37361">
        <w:rPr>
          <w:rFonts w:ascii="Arial" w:eastAsia="Times New Roman" w:hAnsi="Arial" w:cs="Arial"/>
          <w:color w:val="222222"/>
          <w:lang w:eastAsia="de-DE"/>
        </w:rPr>
        <w:t>: Die geplanten Aktivitäten stärken über die Krankheitsvermeidung hinaus die gesundheitsfördernden und -schützenden Ressourcen Einzelner und verbessern die Rahmenbedingungen.</w:t>
      </w:r>
    </w:p>
    <w:p w14:paraId="230123CF"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Ein </w:t>
      </w:r>
      <w:hyperlink r:id="rId9" w:tgtFrame="_blank" w:history="1">
        <w:r w:rsidRPr="00F37361">
          <w:rPr>
            <w:rFonts w:ascii="Arial" w:eastAsia="Times New Roman" w:hAnsi="Arial"/>
            <w:b/>
            <w:color w:val="222222"/>
            <w:lang w:eastAsia="de-DE"/>
          </w:rPr>
          <w:t>Nachhaltigkeit</w:t>
        </w:r>
      </w:hyperlink>
      <w:r w:rsidRPr="00F37361">
        <w:rPr>
          <w:rFonts w:ascii="Arial" w:eastAsia="Times New Roman" w:hAnsi="Arial"/>
          <w:b/>
          <w:bCs/>
          <w:color w:val="222222"/>
          <w:lang w:eastAsia="de-DE"/>
        </w:rPr>
        <w:t>skonzept</w:t>
      </w:r>
      <w:r w:rsidRPr="00F37361">
        <w:rPr>
          <w:rFonts w:ascii="Arial" w:eastAsia="Times New Roman" w:hAnsi="Arial" w:cs="Arial"/>
          <w:color w:val="222222"/>
          <w:lang w:eastAsia="de-DE"/>
        </w:rPr>
        <w:t> (z. B. zur Verstetigung des Prozesses, zur Strukturbildung) liegt vor. </w:t>
      </w:r>
    </w:p>
    <w:p w14:paraId="7DC787F3"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für die </w:t>
      </w:r>
      <w:hyperlink r:id="rId10" w:tgtFrame="_blank" w:history="1">
        <w:r w:rsidRPr="00F37361">
          <w:rPr>
            <w:rFonts w:ascii="Arial" w:eastAsia="Times New Roman" w:hAnsi="Arial"/>
            <w:color w:val="222222"/>
            <w:lang w:eastAsia="de-DE"/>
          </w:rPr>
          <w:t>Lebenswelt Verantwortlichen</w:t>
        </w:r>
      </w:hyperlink>
      <w:r w:rsidRPr="00F37361">
        <w:rPr>
          <w:rFonts w:ascii="Arial" w:eastAsia="Times New Roman" w:hAnsi="Arial" w:cs="Arial"/>
          <w:color w:val="222222"/>
          <w:lang w:eastAsia="de-DE"/>
        </w:rPr>
        <w:t> verpflichten sich zur Teilnahme an </w:t>
      </w:r>
      <w:r w:rsidRPr="00F37361">
        <w:rPr>
          <w:rFonts w:ascii="Arial" w:eastAsia="Times New Roman" w:hAnsi="Arial"/>
          <w:b/>
          <w:bCs/>
          <w:color w:val="222222"/>
          <w:lang w:eastAsia="de-DE"/>
        </w:rPr>
        <w:t>Qualitätssicherungsmaßnahmen</w:t>
      </w:r>
      <w:r w:rsidRPr="00F37361">
        <w:rPr>
          <w:rFonts w:ascii="Arial" w:eastAsia="Times New Roman" w:hAnsi="Arial" w:cs="Arial"/>
          <w:color w:val="222222"/>
          <w:lang w:eastAsia="de-DE"/>
        </w:rPr>
        <w:t>.</w:t>
      </w:r>
    </w:p>
    <w:p w14:paraId="6AB7679E"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eastAsia="Times New Roman" w:hAnsi="Arial" w:cs="Arial"/>
          <w:color w:val="222222"/>
          <w:lang w:eastAsia="de-DE"/>
        </w:rPr>
        <w:t>Die für die Lebenswelt Verantwortlichen verpflichten sich zur Mitwirkung am Verfahren der GKV-</w:t>
      </w:r>
      <w:r w:rsidRPr="00F37361">
        <w:rPr>
          <w:rFonts w:ascii="Arial" w:eastAsia="Times New Roman" w:hAnsi="Arial" w:cs="Arial"/>
          <w:b/>
          <w:color w:val="222222"/>
          <w:lang w:eastAsia="de-DE"/>
        </w:rPr>
        <w:t>Dokumentation</w:t>
      </w:r>
      <w:r w:rsidRPr="00F37361">
        <w:rPr>
          <w:rFonts w:ascii="Arial" w:eastAsia="Times New Roman" w:hAnsi="Arial" w:cs="Arial"/>
          <w:color w:val="222222"/>
          <w:lang w:eastAsia="de-DE"/>
        </w:rPr>
        <w:t xml:space="preserve"> der Maßnahmen in Lebenswelten.</w:t>
      </w:r>
    </w:p>
    <w:p w14:paraId="190EF96F" w14:textId="77777777" w:rsidR="00F37361" w:rsidRPr="00F37361" w:rsidRDefault="00F37361" w:rsidP="00F37361">
      <w:pPr>
        <w:numPr>
          <w:ilvl w:val="0"/>
          <w:numId w:val="36"/>
        </w:numPr>
        <w:spacing w:after="120" w:line="276" w:lineRule="auto"/>
        <w:ind w:left="1068"/>
        <w:contextualSpacing/>
        <w:rPr>
          <w:rFonts w:ascii="Arial" w:eastAsia="Times New Roman" w:hAnsi="Arial" w:cs="Arial"/>
          <w:color w:val="222222"/>
          <w:lang w:eastAsia="de-DE"/>
        </w:rPr>
      </w:pPr>
      <w:r w:rsidRPr="00F37361">
        <w:rPr>
          <w:rFonts w:ascii="Arial" w:hAnsi="Arial" w:cs="Arial"/>
        </w:rPr>
        <w:t xml:space="preserve">Angemessene </w:t>
      </w:r>
      <w:r w:rsidRPr="00F37361">
        <w:rPr>
          <w:rFonts w:ascii="Arial" w:hAnsi="Arial" w:cs="Arial"/>
          <w:b/>
        </w:rPr>
        <w:t>Qualifikationen</w:t>
      </w:r>
      <w:r w:rsidRPr="00F37361">
        <w:rPr>
          <w:rFonts w:ascii="Arial" w:hAnsi="Arial" w:cs="Arial"/>
        </w:rPr>
        <w:t xml:space="preserve"> des Anbieters/der Anbieterin.</w:t>
      </w:r>
    </w:p>
    <w:p w14:paraId="6E83D36A" w14:textId="77777777" w:rsidR="00F37361" w:rsidRPr="00F37361" w:rsidRDefault="00F37361" w:rsidP="00F37361">
      <w:pPr>
        <w:spacing w:after="0" w:line="276" w:lineRule="auto"/>
        <w:ind w:left="348"/>
        <w:rPr>
          <w:rFonts w:ascii="Arial" w:hAnsi="Arial"/>
          <w:sz w:val="24"/>
          <w:szCs w:val="24"/>
        </w:rPr>
      </w:pPr>
    </w:p>
    <w:p w14:paraId="52527D45" w14:textId="77777777" w:rsidR="00F37361" w:rsidRPr="00F37361" w:rsidRDefault="00F37361" w:rsidP="00F37361">
      <w:pPr>
        <w:spacing w:after="0" w:line="276" w:lineRule="auto"/>
        <w:ind w:left="348"/>
        <w:rPr>
          <w:rFonts w:ascii="Arial" w:hAnsi="Arial"/>
          <w:u w:val="single"/>
        </w:rPr>
      </w:pPr>
      <w:r w:rsidRPr="00F37361">
        <w:rPr>
          <w:rFonts w:ascii="Arial" w:hAnsi="Arial"/>
          <w:u w:val="single"/>
        </w:rPr>
        <w:t>Ausschlusskriterien:</w:t>
      </w:r>
    </w:p>
    <w:p w14:paraId="419CB255" w14:textId="77777777" w:rsidR="00F37361" w:rsidRPr="00F37361" w:rsidRDefault="00F37361" w:rsidP="00F37361">
      <w:pPr>
        <w:spacing w:after="0" w:line="276" w:lineRule="auto"/>
        <w:ind w:left="348"/>
        <w:rPr>
          <w:rFonts w:ascii="Arial" w:hAnsi="Arial"/>
          <w:sz w:val="12"/>
          <w:szCs w:val="12"/>
        </w:rPr>
      </w:pPr>
    </w:p>
    <w:p w14:paraId="337240CB" w14:textId="77777777" w:rsidR="00F37361" w:rsidRPr="00F37361" w:rsidRDefault="00F37361" w:rsidP="00F37361">
      <w:pPr>
        <w:numPr>
          <w:ilvl w:val="0"/>
          <w:numId w:val="35"/>
        </w:numPr>
        <w:spacing w:after="0" w:line="276" w:lineRule="auto"/>
        <w:ind w:left="1068"/>
        <w:contextualSpacing/>
        <w:rPr>
          <w:rFonts w:ascii="Arial" w:hAnsi="Arial"/>
        </w:rPr>
      </w:pPr>
      <w:r w:rsidRPr="00F37361">
        <w:rPr>
          <w:rFonts w:ascii="Arial" w:hAnsi="Arial" w:cs="Arial"/>
        </w:rPr>
        <w:t>Nicht Leitfaden konforme Projekte,</w:t>
      </w:r>
    </w:p>
    <w:p w14:paraId="412C8463"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die zu den </w:t>
      </w:r>
      <w:r w:rsidRPr="00F37361">
        <w:rPr>
          <w:rFonts w:ascii="Arial" w:hAnsi="Arial"/>
          <w:b/>
          <w:bCs/>
          <w:lang w:eastAsia="de-DE"/>
        </w:rPr>
        <w:t>Pflichtaufgaben anderer Einrichtungen oder Verantwortlicher</w:t>
      </w:r>
      <w:r w:rsidRPr="00F37361">
        <w:rPr>
          <w:rFonts w:ascii="Arial" w:hAnsi="Arial"/>
          <w:lang w:eastAsia="de-DE"/>
        </w:rPr>
        <w:t> gehören (z. B. die Suchtberatung durch entsprechende Beratungsstellen oder Suchtprophylaxebeauftragte),</w:t>
      </w:r>
    </w:p>
    <w:p w14:paraId="63DF9F3B"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isolierte</w:t>
      </w:r>
      <w:r w:rsidRPr="00F37361">
        <w:rPr>
          <w:rFonts w:ascii="Arial" w:hAnsi="Arial"/>
          <w:lang w:eastAsia="de-DE"/>
        </w:rPr>
        <w:t>, d. h. nicht in ein Gesamtkonzept eingebundene </w:t>
      </w:r>
      <w:r w:rsidRPr="00F37361">
        <w:rPr>
          <w:rFonts w:ascii="Arial" w:hAnsi="Arial"/>
          <w:b/>
          <w:bCs/>
          <w:lang w:eastAsia="de-DE"/>
        </w:rPr>
        <w:t>Maßnahmen</w:t>
      </w:r>
      <w:r w:rsidRPr="00F37361">
        <w:rPr>
          <w:rFonts w:ascii="Arial" w:hAnsi="Arial"/>
          <w:lang w:eastAsia="de-DE"/>
        </w:rPr>
        <w:t> externer Anbieter/-innen,</w:t>
      </w:r>
    </w:p>
    <w:p w14:paraId="14EC8F66"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individuumsbezogene Abrechnung</w:t>
      </w:r>
      <w:r w:rsidRPr="00F37361">
        <w:rPr>
          <w:rFonts w:ascii="Arial" w:hAnsi="Arial"/>
          <w:lang w:eastAsia="de-DE"/>
        </w:rPr>
        <w:t> von Maßnahmen,</w:t>
      </w:r>
    </w:p>
    <w:p w14:paraId="52460449"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Förderanträge</w:t>
      </w:r>
      <w:r w:rsidRPr="00F37361">
        <w:rPr>
          <w:rFonts w:ascii="Arial" w:hAnsi="Arial"/>
          <w:lang w:eastAsia="de-DE"/>
        </w:rPr>
        <w:t>, die </w:t>
      </w:r>
      <w:r w:rsidRPr="00F37361">
        <w:rPr>
          <w:rFonts w:ascii="Arial" w:hAnsi="Arial"/>
          <w:b/>
          <w:bCs/>
          <w:lang w:eastAsia="de-DE"/>
        </w:rPr>
        <w:t>nicht von der Einrichtung/dem Einrichtungsträger selbst</w:t>
      </w:r>
      <w:r w:rsidRPr="00F37361">
        <w:rPr>
          <w:rFonts w:ascii="Arial" w:hAnsi="Arial"/>
          <w:lang w:eastAsia="de-DE"/>
        </w:rPr>
        <w:t> gestellt werden,</w:t>
      </w:r>
    </w:p>
    <w:p w14:paraId="631F4241"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Forschungsprojekte</w:t>
      </w:r>
      <w:r w:rsidRPr="00F37361">
        <w:rPr>
          <w:rFonts w:ascii="Arial" w:hAnsi="Arial"/>
          <w:lang w:eastAsia="de-DE"/>
        </w:rPr>
        <w:t xml:space="preserve"> ohne Interventionsbezug,</w:t>
      </w:r>
    </w:p>
    <w:p w14:paraId="413D9A5E"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Screenings</w:t>
      </w:r>
      <w:r w:rsidRPr="00F37361">
        <w:rPr>
          <w:rFonts w:ascii="Arial" w:hAnsi="Arial"/>
          <w:lang w:eastAsia="de-DE"/>
        </w:rPr>
        <w:t> ohne verhältnis- und verhaltensbezogene Intervention</w:t>
      </w:r>
    </w:p>
    <w:p w14:paraId="7357F16B"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von </w:t>
      </w:r>
      <w:r w:rsidRPr="00F37361">
        <w:rPr>
          <w:rFonts w:ascii="Arial" w:hAnsi="Arial"/>
          <w:b/>
          <w:bCs/>
          <w:lang w:eastAsia="de-DE"/>
        </w:rPr>
        <w:t>politischen Parteien</w:t>
      </w:r>
      <w:r w:rsidRPr="00F37361">
        <w:rPr>
          <w:rFonts w:ascii="Arial" w:hAnsi="Arial"/>
          <w:lang w:eastAsia="de-DE"/>
        </w:rPr>
        <w:t> sowie </w:t>
      </w:r>
      <w:r w:rsidRPr="00F37361">
        <w:rPr>
          <w:rFonts w:ascii="Arial" w:hAnsi="Arial"/>
          <w:b/>
          <w:bCs/>
          <w:lang w:eastAsia="de-DE"/>
        </w:rPr>
        <w:t>parteinahen Organisationen und Stiftungen</w:t>
      </w:r>
      <w:r w:rsidRPr="00F37361">
        <w:rPr>
          <w:rFonts w:ascii="Arial" w:hAnsi="Arial"/>
          <w:lang w:eastAsia="de-DE"/>
        </w:rPr>
        <w:t>,</w:t>
      </w:r>
    </w:p>
    <w:p w14:paraId="0FD59DF2"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Aktivitäten, die einseitig </w:t>
      </w:r>
      <w:r w:rsidRPr="00F37361">
        <w:rPr>
          <w:rFonts w:ascii="Arial" w:hAnsi="Arial"/>
          <w:b/>
          <w:bCs/>
          <w:lang w:eastAsia="de-DE"/>
        </w:rPr>
        <w:t>Werbezwecken</w:t>
      </w:r>
      <w:r w:rsidRPr="00F37361">
        <w:rPr>
          <w:rFonts w:ascii="Arial" w:hAnsi="Arial"/>
          <w:lang w:eastAsia="de-DE"/>
        </w:rPr>
        <w:t> für bestimmte Einrichtungen, Organisationen oder Produkte dienen,</w:t>
      </w:r>
    </w:p>
    <w:p w14:paraId="1118FB00"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ausschließlich öffentlichkeitsorientierte Aktionen, Informationsstände</w:t>
      </w:r>
      <w:r w:rsidRPr="00F37361">
        <w:rPr>
          <w:rFonts w:ascii="Arial" w:hAnsi="Arial"/>
          <w:lang w:eastAsia="de-DE"/>
        </w:rPr>
        <w:t> (z. B. bei Stadtteil-, Schul- und Kita-Festen, in öffentlichen Bereichen) oder ausschließlich mediale </w:t>
      </w:r>
      <w:r w:rsidRPr="00F37361">
        <w:rPr>
          <w:rFonts w:ascii="Arial" w:hAnsi="Arial"/>
          <w:b/>
          <w:bCs/>
          <w:lang w:eastAsia="de-DE"/>
        </w:rPr>
        <w:t>Aufklärungskampagnen</w:t>
      </w:r>
      <w:r w:rsidRPr="00F37361">
        <w:rPr>
          <w:rFonts w:ascii="Arial" w:hAnsi="Arial"/>
          <w:lang w:eastAsia="de-DE"/>
        </w:rPr>
        <w:t>,</w:t>
      </w:r>
    </w:p>
    <w:p w14:paraId="0661D751"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berufliche Ausbildung und Qualifizierungsmaßnahmen</w:t>
      </w:r>
      <w:r w:rsidRPr="00F37361">
        <w:rPr>
          <w:rFonts w:ascii="Arial" w:hAnsi="Arial"/>
          <w:lang w:eastAsia="de-DE"/>
        </w:rPr>
        <w:t>, die nicht an das Vorhaben gebunden sind,</w:t>
      </w:r>
    </w:p>
    <w:p w14:paraId="728DE742"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Kosten für </w:t>
      </w:r>
      <w:r w:rsidRPr="00F37361">
        <w:rPr>
          <w:rFonts w:ascii="Arial" w:hAnsi="Arial"/>
          <w:b/>
          <w:bCs/>
          <w:lang w:eastAsia="de-DE"/>
        </w:rPr>
        <w:t>Baumaßnahmen, Einrichtungsgegenstände, Mobiliar</w:t>
      </w:r>
      <w:r w:rsidRPr="00F37361">
        <w:rPr>
          <w:rFonts w:ascii="Arial" w:hAnsi="Arial"/>
          <w:lang w:eastAsia="de-DE"/>
        </w:rPr>
        <w:t> und </w:t>
      </w:r>
      <w:r w:rsidRPr="00F37361">
        <w:rPr>
          <w:rFonts w:ascii="Arial" w:hAnsi="Arial"/>
          <w:b/>
          <w:bCs/>
          <w:lang w:eastAsia="de-DE"/>
        </w:rPr>
        <w:t>technische Hilfsmittel</w:t>
      </w:r>
      <w:r w:rsidRPr="00F37361">
        <w:rPr>
          <w:rFonts w:ascii="Arial" w:hAnsi="Arial"/>
          <w:lang w:eastAsia="de-DE"/>
        </w:rPr>
        <w:t xml:space="preserve">, </w:t>
      </w:r>
      <w:r w:rsidRPr="00F37361">
        <w:rPr>
          <w:rFonts w:ascii="Arial" w:hAnsi="Arial"/>
          <w:b/>
          <w:lang w:eastAsia="de-DE"/>
        </w:rPr>
        <w:t>Computer und andere digitale Geräte</w:t>
      </w:r>
    </w:p>
    <w:p w14:paraId="48EDCEF4"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b/>
          <w:bCs/>
          <w:lang w:eastAsia="de-DE"/>
        </w:rPr>
        <w:t>Regelfinanzierung</w:t>
      </w:r>
      <w:r w:rsidRPr="00F37361">
        <w:rPr>
          <w:rFonts w:ascii="Arial" w:hAnsi="Arial"/>
          <w:lang w:eastAsia="de-DE"/>
        </w:rPr>
        <w:t> von auf Dauer angelegten Stellen, z. B. in Beratungseinrichtungen,</w:t>
      </w:r>
    </w:p>
    <w:p w14:paraId="662949C5" w14:textId="77777777" w:rsidR="00F37361" w:rsidRPr="00F37361" w:rsidRDefault="00F37361" w:rsidP="00F37361">
      <w:pPr>
        <w:numPr>
          <w:ilvl w:val="0"/>
          <w:numId w:val="35"/>
        </w:numPr>
        <w:spacing w:after="120" w:line="276" w:lineRule="auto"/>
        <w:ind w:left="1068"/>
        <w:contextualSpacing/>
        <w:rPr>
          <w:rFonts w:ascii="Arial" w:hAnsi="Arial"/>
          <w:lang w:eastAsia="de-DE"/>
        </w:rPr>
      </w:pPr>
      <w:r w:rsidRPr="00F37361">
        <w:rPr>
          <w:rFonts w:ascii="Arial" w:hAnsi="Arial"/>
          <w:lang w:eastAsia="de-DE"/>
        </w:rPr>
        <w:t>Angebote, die </w:t>
      </w:r>
      <w:r w:rsidRPr="00F37361">
        <w:rPr>
          <w:rFonts w:ascii="Arial" w:hAnsi="Arial"/>
          <w:b/>
          <w:bCs/>
          <w:lang w:eastAsia="de-DE"/>
        </w:rPr>
        <w:t>weltanschaulich nicht neutral </w:t>
      </w:r>
      <w:r w:rsidRPr="00F37361">
        <w:rPr>
          <w:rFonts w:ascii="Arial" w:hAnsi="Arial"/>
          <w:lang w:eastAsia="de-DE"/>
        </w:rPr>
        <w:t>sind.</w:t>
      </w:r>
    </w:p>
    <w:p w14:paraId="4D822120" w14:textId="77777777" w:rsidR="00D32551" w:rsidRDefault="00D32551" w:rsidP="00F37361">
      <w:pPr>
        <w:spacing w:after="0" w:line="276" w:lineRule="auto"/>
        <w:ind w:left="345"/>
        <w:rPr>
          <w:rFonts w:ascii="Arial" w:hAnsi="Arial" w:cs="Arial"/>
          <w:color w:val="222222"/>
        </w:rPr>
      </w:pPr>
    </w:p>
    <w:p w14:paraId="58FFF051" w14:textId="70176B73" w:rsidR="00F37361" w:rsidRPr="00F37361" w:rsidRDefault="00F37361" w:rsidP="00D32551">
      <w:pPr>
        <w:spacing w:after="0" w:line="276" w:lineRule="auto"/>
        <w:ind w:left="708"/>
        <w:rPr>
          <w:rFonts w:ascii="Arial" w:hAnsi="Arial" w:cs="Arial"/>
          <w:color w:val="222222"/>
        </w:rPr>
      </w:pPr>
      <w:r w:rsidRPr="00F37361">
        <w:rPr>
          <w:rFonts w:ascii="Arial" w:hAnsi="Arial" w:cs="Arial"/>
          <w:color w:val="222222"/>
        </w:rPr>
        <w:t>Das Kapitel 4: "Gesundheitsförderung und Prävention in Lebenswelten nach § 20a SGB V" aus dem Leitfaden Prävention stellt die Ausschlusskriterien ausführlich vor.</w:t>
      </w:r>
    </w:p>
    <w:p w14:paraId="45BF9DB8" w14:textId="77777777" w:rsidR="00D32551" w:rsidRDefault="00D32551">
      <w:pPr>
        <w:rPr>
          <w:rFonts w:ascii="Arial" w:eastAsia="Times New Roman" w:hAnsi="Arial" w:cs="Arial"/>
          <w:b/>
          <w:color w:val="222222"/>
          <w:lang w:eastAsia="de-DE"/>
        </w:rPr>
      </w:pPr>
      <w:r>
        <w:rPr>
          <w:rFonts w:ascii="Arial" w:eastAsia="Times New Roman" w:hAnsi="Arial" w:cs="Arial"/>
          <w:b/>
          <w:color w:val="222222"/>
          <w:lang w:eastAsia="de-DE"/>
        </w:rPr>
        <w:br w:type="page"/>
      </w:r>
    </w:p>
    <w:p w14:paraId="2BBBC1DF" w14:textId="3C34842E" w:rsidR="00F37361" w:rsidRPr="00F37361" w:rsidRDefault="00F37361" w:rsidP="00F37361">
      <w:pPr>
        <w:numPr>
          <w:ilvl w:val="0"/>
          <w:numId w:val="34"/>
        </w:numPr>
        <w:spacing w:after="0" w:line="276" w:lineRule="auto"/>
        <w:ind w:left="284" w:hanging="284"/>
        <w:contextualSpacing/>
        <w:rPr>
          <w:rFonts w:ascii="Arial" w:eastAsia="Times New Roman" w:hAnsi="Arial" w:cs="Arial"/>
          <w:b/>
          <w:color w:val="222222"/>
          <w:lang w:eastAsia="de-DE"/>
        </w:rPr>
      </w:pPr>
      <w:r w:rsidRPr="00F37361">
        <w:rPr>
          <w:rFonts w:ascii="Arial" w:eastAsia="Times New Roman" w:hAnsi="Arial" w:cs="Arial"/>
          <w:b/>
          <w:color w:val="222222"/>
          <w:lang w:eastAsia="de-DE"/>
        </w:rPr>
        <w:lastRenderedPageBreak/>
        <w:t xml:space="preserve">Qualifikation, Förderung von Projekten mit Multiplikatoren </w:t>
      </w:r>
    </w:p>
    <w:p w14:paraId="5D096346" w14:textId="77777777" w:rsidR="00F37361" w:rsidRPr="00F37361" w:rsidRDefault="00F37361" w:rsidP="00F37361">
      <w:pPr>
        <w:shd w:val="clear" w:color="auto" w:fill="FFFFFF"/>
        <w:spacing w:after="0" w:line="276" w:lineRule="auto"/>
        <w:ind w:left="720"/>
        <w:rPr>
          <w:rFonts w:ascii="Arial" w:eastAsia="Times New Roman" w:hAnsi="Arial" w:cs="Arial"/>
          <w:color w:val="1A1A1A"/>
          <w:lang w:eastAsia="de-DE"/>
        </w:rPr>
      </w:pPr>
    </w:p>
    <w:p w14:paraId="4C325769"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r w:rsidRPr="00F37361">
        <w:rPr>
          <w:rFonts w:ascii="Arial" w:eastAsia="Times New Roman" w:hAnsi="Arial" w:cs="Arial"/>
          <w:color w:val="222222"/>
          <w:lang w:eastAsia="de-DE"/>
        </w:rPr>
        <w:t xml:space="preserve">Die Durchführung von Maßnahmen nach dem Setting-Ansatz durch die bzw. im Auftrag der Krankenkassen erfolgt durch Fachkräfte mit einem staatlich anerkannten Berufs- oder Studienabschluss mit Bezug zu Gesundheit und Prävention. Diese müssen außerdem über spezifische Kenntnisse und Fähigkeiten in den Bereichen Prozess- und Projektmanagement verfügen. </w:t>
      </w:r>
    </w:p>
    <w:p w14:paraId="42502EF6"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p>
    <w:p w14:paraId="192668B7" w14:textId="77777777" w:rsidR="00F37361" w:rsidRPr="00F37361" w:rsidRDefault="00F37361" w:rsidP="00F37361">
      <w:pPr>
        <w:shd w:val="clear" w:color="auto" w:fill="FFFFFF"/>
        <w:spacing w:after="0" w:line="276" w:lineRule="auto"/>
        <w:rPr>
          <w:rFonts w:ascii="Arial" w:eastAsia="Times New Roman" w:hAnsi="Arial" w:cs="Arial"/>
          <w:color w:val="222222"/>
          <w:lang w:eastAsia="de-DE"/>
        </w:rPr>
      </w:pPr>
    </w:p>
    <w:p w14:paraId="718BE3AF" w14:textId="77777777" w:rsidR="00F37361" w:rsidRPr="00F37361" w:rsidRDefault="00F37361" w:rsidP="00F37361">
      <w:pPr>
        <w:numPr>
          <w:ilvl w:val="0"/>
          <w:numId w:val="34"/>
        </w:numPr>
        <w:autoSpaceDE w:val="0"/>
        <w:autoSpaceDN w:val="0"/>
        <w:adjustRightInd w:val="0"/>
        <w:spacing w:after="0" w:line="276" w:lineRule="auto"/>
        <w:ind w:left="350" w:hanging="350"/>
        <w:contextualSpacing/>
        <w:rPr>
          <w:rFonts w:ascii="Arial" w:eastAsia="Times New Roman" w:hAnsi="Arial" w:cs="Arial"/>
          <w:b/>
          <w:color w:val="222222"/>
          <w:lang w:eastAsia="de-DE"/>
        </w:rPr>
      </w:pPr>
      <w:r w:rsidRPr="00F37361">
        <w:rPr>
          <w:rFonts w:ascii="Arial" w:eastAsia="Times New Roman" w:hAnsi="Arial" w:cs="Arial"/>
          <w:b/>
          <w:color w:val="222222"/>
          <w:lang w:eastAsia="de-DE"/>
        </w:rPr>
        <w:t>Antragstellung, Verfahren</w:t>
      </w:r>
    </w:p>
    <w:p w14:paraId="1EAA9B0D" w14:textId="77777777" w:rsidR="00F37361" w:rsidRPr="00F37361" w:rsidRDefault="00F37361" w:rsidP="00F37361">
      <w:pPr>
        <w:autoSpaceDE w:val="0"/>
        <w:autoSpaceDN w:val="0"/>
        <w:adjustRightInd w:val="0"/>
        <w:spacing w:after="0" w:line="276" w:lineRule="auto"/>
        <w:rPr>
          <w:rFonts w:ascii="Arial" w:eastAsia="Times New Roman" w:hAnsi="Arial" w:cs="Arial"/>
          <w:color w:val="222222"/>
          <w:lang w:eastAsia="de-DE"/>
        </w:rPr>
      </w:pPr>
    </w:p>
    <w:p w14:paraId="120AF98C" w14:textId="77777777" w:rsidR="00F37361" w:rsidRPr="00F37361" w:rsidRDefault="00F37361" w:rsidP="00F37361">
      <w:pPr>
        <w:numPr>
          <w:ilvl w:val="0"/>
          <w:numId w:val="32"/>
        </w:numPr>
        <w:shd w:val="clear" w:color="auto" w:fill="FFFFFF"/>
        <w:tabs>
          <w:tab w:val="left" w:pos="2552"/>
        </w:tabs>
        <w:spacing w:after="120" w:line="276" w:lineRule="auto"/>
        <w:ind w:left="360"/>
        <w:contextualSpacing/>
        <w:rPr>
          <w:rFonts w:ascii="Arial" w:hAnsi="Arial" w:cs="Arial"/>
          <w:color w:val="000000"/>
        </w:rPr>
      </w:pPr>
      <w:r w:rsidRPr="00F37361">
        <w:rPr>
          <w:rFonts w:ascii="Arial" w:hAnsi="Arial" w:cs="Arial"/>
          <w:color w:val="000000"/>
        </w:rPr>
        <w:t>Der Träger der Lebenswelt/Einrichtung muss den Antrag stellen.</w:t>
      </w:r>
    </w:p>
    <w:p w14:paraId="4A142FB3" w14:textId="77777777" w:rsidR="00F37361" w:rsidRPr="00F37361" w:rsidRDefault="00F37361" w:rsidP="00F37361">
      <w:pPr>
        <w:shd w:val="clear" w:color="auto" w:fill="FFFFFF"/>
        <w:tabs>
          <w:tab w:val="left" w:pos="2552"/>
        </w:tabs>
        <w:spacing w:after="120" w:line="276" w:lineRule="auto"/>
        <w:ind w:left="360"/>
        <w:contextualSpacing/>
        <w:rPr>
          <w:rFonts w:ascii="Arial" w:hAnsi="Arial" w:cs="Arial"/>
          <w:color w:val="000000"/>
        </w:rPr>
      </w:pPr>
    </w:p>
    <w:p w14:paraId="0376B694" w14:textId="77777777" w:rsidR="00F37361" w:rsidRPr="00F37361" w:rsidRDefault="00F37361" w:rsidP="00F37361">
      <w:pPr>
        <w:numPr>
          <w:ilvl w:val="0"/>
          <w:numId w:val="32"/>
        </w:numPr>
        <w:shd w:val="clear" w:color="auto" w:fill="FFFFFF"/>
        <w:tabs>
          <w:tab w:val="left" w:pos="2552"/>
        </w:tabs>
        <w:spacing w:after="120" w:line="276" w:lineRule="auto"/>
        <w:ind w:left="360"/>
        <w:contextualSpacing/>
        <w:rPr>
          <w:rFonts w:ascii="Arial" w:hAnsi="Arial" w:cs="Arial"/>
          <w:color w:val="000000"/>
        </w:rPr>
      </w:pPr>
      <w:r w:rsidRPr="00F37361">
        <w:rPr>
          <w:rFonts w:ascii="Arial" w:hAnsi="Arial" w:cs="Arial"/>
          <w:color w:val="000000"/>
        </w:rPr>
        <w:t>Für die Antragstellung ist das Antragsformular zu nutzen. Der Antrag kann als Scan (mit Unterschrift) per E-Mail an</w:t>
      </w:r>
      <w:r w:rsidRPr="005D1BAC">
        <w:rPr>
          <w:rFonts w:ascii="Arial" w:hAnsi="Arial" w:cs="Arial"/>
          <w:color w:val="000000"/>
        </w:rPr>
        <w:t>: Projektfoerderung-LKK@</w:t>
      </w:r>
      <w:r w:rsidRPr="00F37361">
        <w:rPr>
          <w:rFonts w:ascii="Arial" w:hAnsi="Arial" w:cs="Arial"/>
          <w:color w:val="000000"/>
        </w:rPr>
        <w:t>svlfg.de</w:t>
      </w:r>
    </w:p>
    <w:p w14:paraId="7C47095A" w14:textId="77777777" w:rsidR="00F37361" w:rsidRPr="00F37361" w:rsidRDefault="00F37361" w:rsidP="008851C2">
      <w:pPr>
        <w:shd w:val="clear" w:color="auto" w:fill="FFFFFF"/>
        <w:tabs>
          <w:tab w:val="left" w:pos="2552"/>
          <w:tab w:val="left" w:pos="4111"/>
        </w:tabs>
        <w:spacing w:after="0" w:line="276" w:lineRule="auto"/>
        <w:ind w:left="348"/>
        <w:rPr>
          <w:rFonts w:ascii="Arial" w:hAnsi="Arial" w:cs="Arial"/>
          <w:color w:val="000000"/>
        </w:rPr>
      </w:pPr>
      <w:r w:rsidRPr="00F37361">
        <w:rPr>
          <w:rFonts w:ascii="Arial" w:hAnsi="Arial" w:cs="Arial"/>
          <w:color w:val="000000"/>
        </w:rPr>
        <w:t>oder postalisch gesendet werden an:</w:t>
      </w:r>
      <w:r w:rsidRPr="00F37361">
        <w:rPr>
          <w:rFonts w:ascii="Arial" w:hAnsi="Arial" w:cs="Arial"/>
          <w:color w:val="000000"/>
        </w:rPr>
        <w:tab/>
        <w:t>SVLFG</w:t>
      </w:r>
    </w:p>
    <w:p w14:paraId="4C3ECDBC"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Stabsstelle Gesundheitsangebote </w:t>
      </w:r>
    </w:p>
    <w:p w14:paraId="206791DF"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z. Hd. Michael Holzer </w:t>
      </w:r>
    </w:p>
    <w:p w14:paraId="4053D30E"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Dr.-Georg-Heim-Allee 1</w:t>
      </w:r>
    </w:p>
    <w:p w14:paraId="6AD49F05" w14:textId="77777777" w:rsidR="00F37361" w:rsidRPr="00F37361" w:rsidRDefault="00F37361" w:rsidP="008851C2">
      <w:pPr>
        <w:shd w:val="clear" w:color="auto" w:fill="FFFFFF"/>
        <w:tabs>
          <w:tab w:val="left" w:pos="4111"/>
        </w:tabs>
        <w:spacing w:after="0" w:line="276" w:lineRule="auto"/>
        <w:ind w:left="774"/>
        <w:rPr>
          <w:rFonts w:ascii="Arial" w:hAnsi="Arial" w:cs="Arial"/>
          <w:color w:val="000000"/>
        </w:rPr>
      </w:pPr>
      <w:r w:rsidRPr="00F37361">
        <w:rPr>
          <w:rFonts w:ascii="Arial" w:hAnsi="Arial" w:cs="Arial"/>
          <w:color w:val="000000"/>
        </w:rPr>
        <w:tab/>
        <w:t xml:space="preserve">84036 Landshut </w:t>
      </w:r>
    </w:p>
    <w:p w14:paraId="79E561F9" w14:textId="77777777" w:rsidR="00F37361" w:rsidRPr="00F37361" w:rsidRDefault="00F37361" w:rsidP="00F37361">
      <w:pPr>
        <w:spacing w:after="0" w:line="276" w:lineRule="auto"/>
        <w:rPr>
          <w:rFonts w:ascii="Arial" w:hAnsi="Arial"/>
          <w:sz w:val="24"/>
          <w:szCs w:val="24"/>
        </w:rPr>
      </w:pPr>
    </w:p>
    <w:p w14:paraId="6FEC81AB" w14:textId="309389EE" w:rsidR="00F37361" w:rsidRPr="00F37361" w:rsidRDefault="00F37361" w:rsidP="00F37361">
      <w:pPr>
        <w:numPr>
          <w:ilvl w:val="0"/>
          <w:numId w:val="32"/>
        </w:numPr>
        <w:shd w:val="clear" w:color="auto" w:fill="FFFFFF"/>
        <w:spacing w:after="0" w:line="276" w:lineRule="auto"/>
        <w:ind w:left="360"/>
        <w:contextualSpacing/>
        <w:rPr>
          <w:rFonts w:ascii="Arial" w:hAnsi="Arial" w:cs="Arial"/>
          <w:color w:val="000000"/>
        </w:rPr>
      </w:pPr>
      <w:r w:rsidRPr="00F37361">
        <w:rPr>
          <w:rFonts w:ascii="Arial" w:eastAsia="Times New Roman" w:hAnsi="Arial" w:cs="Arial"/>
          <w:color w:val="222222"/>
          <w:lang w:eastAsia="de-DE"/>
        </w:rPr>
        <w:t xml:space="preserve">Mit jedem Antrag nebst Projektskizze muss ein inhaltlich fundiertes und überzeugendes Konzept eingereicht werden. Insbesondere </w:t>
      </w:r>
      <w:r w:rsidRPr="00F37361">
        <w:rPr>
          <w:rFonts w:ascii="Arial" w:hAnsi="Arial" w:cs="Arial"/>
          <w:color w:val="000000"/>
        </w:rPr>
        <w:t xml:space="preserve">ist dem Antrag ein Finanzierungsplan (aufgegliederte Berechnung der mit dem Zuwendungszweck zusammenhängenden Ausgaben, bei Projekten nach Kalenderjahren unterteilt; die beabsichtigte Finanzierung mit Eigen- und etwaigen Drittmitteln sowie deren Dauer) beizufügen. Weiterhin ist dem Antrag ein Zeit- und Ablaufplan beizufügen. </w:t>
      </w:r>
      <w:r w:rsidRPr="00F37361">
        <w:rPr>
          <w:rFonts w:ascii="Arial" w:hAnsi="Arial" w:cs="Arial"/>
          <w:color w:val="000000"/>
        </w:rPr>
        <w:br/>
      </w:r>
      <w:r w:rsidRPr="006D5C85">
        <w:rPr>
          <w:rFonts w:ascii="Arial" w:eastAsia="Times New Roman" w:hAnsi="Arial" w:cs="Arial"/>
          <w:color w:val="222222"/>
          <w:lang w:eastAsia="de-DE"/>
        </w:rPr>
        <w:t>Soweit bereits vorhanden ist auch eine ausführliche Projektbeschreibung (über die Kurzbeschreibung im Antrag hinausgehend) einzureichen.</w:t>
      </w:r>
      <w:r w:rsidRPr="00F37361">
        <w:rPr>
          <w:rFonts w:ascii="Arial" w:eastAsia="Times New Roman" w:hAnsi="Arial" w:cs="Arial"/>
          <w:color w:val="222222"/>
          <w:lang w:eastAsia="de-DE"/>
        </w:rPr>
        <w:t xml:space="preserve"> Daneben können auch ergänzende Unterlagen (z. B. Qualifikationen der Leistungserbringer) oder Stellungnahmen, wissenschaftliche Gutachten etc. eingereicht werden. Ggf. werden durch die SVLFG als LKK während der Prüfung des Projektes weitere erforderliche Informationen bzw. Unterlagen angefordert. Hier kann insbesondere – soweit erforderlich – die Erstellung eines Datenschutzkonzeptes in Betracht kommen. </w:t>
      </w:r>
    </w:p>
    <w:p w14:paraId="5F3772D5" w14:textId="77777777" w:rsidR="00F37361" w:rsidRPr="00F37361" w:rsidRDefault="00F37361" w:rsidP="00F37361">
      <w:pPr>
        <w:spacing w:after="0" w:line="276" w:lineRule="auto"/>
        <w:rPr>
          <w:rFonts w:ascii="Arial" w:hAnsi="Arial"/>
          <w:sz w:val="24"/>
          <w:szCs w:val="24"/>
        </w:rPr>
      </w:pPr>
    </w:p>
    <w:p w14:paraId="6D3D3D01" w14:textId="1C6591CC" w:rsidR="00F37361" w:rsidRDefault="00F37361" w:rsidP="00F37361">
      <w:pPr>
        <w:numPr>
          <w:ilvl w:val="0"/>
          <w:numId w:val="32"/>
        </w:numPr>
        <w:shd w:val="clear" w:color="auto" w:fill="FFFFFF"/>
        <w:spacing w:after="0" w:line="276" w:lineRule="auto"/>
        <w:ind w:left="360"/>
        <w:contextualSpacing/>
        <w:rPr>
          <w:rFonts w:ascii="Arial" w:hAnsi="Arial" w:cs="Arial"/>
          <w:color w:val="000000"/>
        </w:rPr>
      </w:pPr>
      <w:r w:rsidRPr="00F37361">
        <w:rPr>
          <w:rFonts w:ascii="Arial" w:hAnsi="Arial" w:cs="Arial"/>
          <w:color w:val="000000"/>
        </w:rPr>
        <w:t>Das Projekt darf sich zum Zeitpunkt der Antragstellung nicht in der Umsetzungsphase befinden. Diese darf erst mit Freigabe der Fördermittel erfolgen. Im Vorfeld entstehende Kosten, beispielsweise für die Erstellung des Antrags oder einer Projektskizze, können nicht übernommen werden.</w:t>
      </w:r>
    </w:p>
    <w:p w14:paraId="3A5D6240" w14:textId="77777777" w:rsidR="00147D5E" w:rsidRDefault="00147D5E" w:rsidP="00147D5E">
      <w:pPr>
        <w:pStyle w:val="Listenabsatz"/>
        <w:rPr>
          <w:rFonts w:ascii="Arial" w:hAnsi="Arial" w:cs="Arial"/>
          <w:color w:val="000000"/>
        </w:rPr>
      </w:pPr>
    </w:p>
    <w:p w14:paraId="7F96EF23" w14:textId="7E4C668E" w:rsidR="00147D5E" w:rsidRPr="00F37361" w:rsidRDefault="00147D5E" w:rsidP="00F37361">
      <w:pPr>
        <w:numPr>
          <w:ilvl w:val="0"/>
          <w:numId w:val="32"/>
        </w:numPr>
        <w:shd w:val="clear" w:color="auto" w:fill="FFFFFF"/>
        <w:spacing w:after="0" w:line="276" w:lineRule="auto"/>
        <w:ind w:left="360"/>
        <w:contextualSpacing/>
        <w:rPr>
          <w:rFonts w:ascii="Arial" w:hAnsi="Arial" w:cs="Arial"/>
          <w:color w:val="000000"/>
        </w:rPr>
      </w:pPr>
      <w:r w:rsidRPr="008E7C9F">
        <w:rPr>
          <w:rFonts w:ascii="Arial" w:hAnsi="Arial" w:cs="Arial"/>
          <w:color w:val="222222"/>
        </w:rPr>
        <w:t xml:space="preserve">Projekte können in der Regel bis zu 4 Jahre gefördert werden. Dauerfinanzierungen sind nicht möglich, allerdings können unter bestimmten Umständen Folgeprojekte gefördert werden, wenn diese evaluiert wurden und einen neuen Gesichtspunkt enthalten. </w:t>
      </w:r>
      <w:r>
        <w:rPr>
          <w:rFonts w:ascii="Arial" w:hAnsi="Arial" w:cs="Arial"/>
          <w:color w:val="222222"/>
        </w:rPr>
        <w:t>Der Antragsteller</w:t>
      </w:r>
      <w:r w:rsidRPr="00315D40">
        <w:rPr>
          <w:rFonts w:ascii="Arial" w:hAnsi="Arial" w:cs="Arial"/>
          <w:color w:val="222222"/>
        </w:rPr>
        <w:t xml:space="preserve"> </w:t>
      </w:r>
      <w:r>
        <w:rPr>
          <w:rFonts w:ascii="Arial" w:hAnsi="Arial" w:cs="Arial"/>
          <w:color w:val="222222"/>
        </w:rPr>
        <w:t>soll beschreiben</w:t>
      </w:r>
      <w:r w:rsidRPr="00315D40">
        <w:rPr>
          <w:rFonts w:ascii="Arial" w:hAnsi="Arial" w:cs="Arial"/>
          <w:color w:val="222222"/>
        </w:rPr>
        <w:t xml:space="preserve">, wie </w:t>
      </w:r>
      <w:r>
        <w:rPr>
          <w:rFonts w:ascii="Arial" w:hAnsi="Arial" w:cs="Arial"/>
          <w:color w:val="222222"/>
        </w:rPr>
        <w:t>er</w:t>
      </w:r>
      <w:r w:rsidRPr="00315D40">
        <w:rPr>
          <w:rFonts w:ascii="Arial" w:hAnsi="Arial" w:cs="Arial"/>
          <w:color w:val="222222"/>
        </w:rPr>
        <w:t xml:space="preserve"> auf Basis der gewonnenen Erkenntnisse des Erstprojektes </w:t>
      </w:r>
      <w:r>
        <w:rPr>
          <w:rFonts w:ascii="Arial" w:hAnsi="Arial" w:cs="Arial"/>
          <w:color w:val="222222"/>
        </w:rPr>
        <w:t>die</w:t>
      </w:r>
      <w:r w:rsidRPr="00315D40">
        <w:rPr>
          <w:rFonts w:ascii="Arial" w:hAnsi="Arial" w:cs="Arial"/>
          <w:color w:val="222222"/>
        </w:rPr>
        <w:t xml:space="preserve"> jetzige Projektidee konzipiert ha</w:t>
      </w:r>
      <w:r>
        <w:rPr>
          <w:rFonts w:ascii="Arial" w:hAnsi="Arial" w:cs="Arial"/>
          <w:color w:val="222222"/>
        </w:rPr>
        <w:t>t</w:t>
      </w:r>
      <w:r w:rsidRPr="00315D40">
        <w:rPr>
          <w:rFonts w:ascii="Arial" w:hAnsi="Arial" w:cs="Arial"/>
          <w:color w:val="222222"/>
        </w:rPr>
        <w:t xml:space="preserve">. </w:t>
      </w:r>
      <w:r>
        <w:rPr>
          <w:rFonts w:ascii="Arial" w:hAnsi="Arial" w:cs="Arial"/>
          <w:color w:val="222222"/>
        </w:rPr>
        <w:t xml:space="preserve">Dabei muss </w:t>
      </w:r>
      <w:r w:rsidRPr="00315D40">
        <w:rPr>
          <w:rFonts w:ascii="Arial" w:hAnsi="Arial" w:cs="Arial"/>
          <w:color w:val="222222"/>
        </w:rPr>
        <w:t xml:space="preserve">ein neuer Aspekt/eine Weiterentwicklung sichtbar werden. </w:t>
      </w:r>
    </w:p>
    <w:p w14:paraId="070CC009" w14:textId="35EA15A1" w:rsidR="00B24AF2" w:rsidRPr="00F37361" w:rsidRDefault="00147D5E" w:rsidP="00147D5E">
      <w:pPr>
        <w:rPr>
          <w:rFonts w:ascii="Arial" w:hAnsi="Arial" w:cs="Arial"/>
          <w:color w:val="000000"/>
        </w:rPr>
      </w:pPr>
      <w:r>
        <w:rPr>
          <w:rFonts w:ascii="Arial" w:hAnsi="Arial" w:cs="Arial"/>
          <w:color w:val="000000"/>
        </w:rPr>
        <w:br w:type="page"/>
      </w:r>
    </w:p>
    <w:p w14:paraId="2F4A4CBF" w14:textId="33C404EF" w:rsidR="00F37361" w:rsidRPr="00F37361" w:rsidRDefault="00F37361" w:rsidP="00F37361">
      <w:pPr>
        <w:numPr>
          <w:ilvl w:val="0"/>
          <w:numId w:val="34"/>
        </w:numPr>
        <w:spacing w:after="0" w:line="276" w:lineRule="auto"/>
        <w:ind w:left="426" w:hanging="426"/>
        <w:contextualSpacing/>
        <w:rPr>
          <w:rFonts w:ascii="Arial" w:hAnsi="Arial" w:cs="Arial"/>
          <w:b/>
        </w:rPr>
      </w:pPr>
      <w:r w:rsidRPr="00F37361">
        <w:rPr>
          <w:rFonts w:ascii="Arial" w:hAnsi="Arial" w:cs="Arial"/>
          <w:b/>
        </w:rPr>
        <w:lastRenderedPageBreak/>
        <w:t>Bewilligung</w:t>
      </w:r>
    </w:p>
    <w:p w14:paraId="506F0318" w14:textId="77777777" w:rsidR="00F37361" w:rsidRPr="00F37361" w:rsidRDefault="00F37361" w:rsidP="00F37361">
      <w:pPr>
        <w:spacing w:after="0" w:line="276" w:lineRule="auto"/>
        <w:rPr>
          <w:rFonts w:ascii="Arial" w:hAnsi="Arial" w:cs="Arial"/>
        </w:rPr>
      </w:pPr>
    </w:p>
    <w:p w14:paraId="4DD6830A" w14:textId="77777777" w:rsidR="00F37361" w:rsidRPr="00F37361" w:rsidRDefault="00F37361" w:rsidP="00F37361">
      <w:pPr>
        <w:numPr>
          <w:ilvl w:val="0"/>
          <w:numId w:val="33"/>
        </w:numPr>
        <w:shd w:val="clear" w:color="auto" w:fill="FFFFFF"/>
        <w:spacing w:after="0" w:line="276" w:lineRule="auto"/>
        <w:ind w:left="360"/>
        <w:contextualSpacing/>
        <w:rPr>
          <w:rFonts w:ascii="Arial" w:eastAsia="Times New Roman" w:hAnsi="Arial" w:cs="Arial"/>
          <w:color w:val="222222"/>
          <w:lang w:eastAsia="de-DE"/>
        </w:rPr>
      </w:pPr>
      <w:r w:rsidRPr="00F37361">
        <w:rPr>
          <w:rFonts w:ascii="Arial" w:eastAsia="Times New Roman" w:hAnsi="Arial" w:cs="Arial"/>
          <w:color w:val="222222"/>
          <w:lang w:eastAsia="de-DE"/>
        </w:rPr>
        <w:t>Die SVLFG als LKK trifft die Zuwendungsentscheidung nach eigenen Ermessen. Liegen mehrere gleichgerichtete Interessenbekundungen bzw. Anträge zu einem Thema vor, wird unter gleichgeeigneten externen Stellen eine Auswahlentscheidung nach transparenten Auswahlkriterien getroffen (Versorgungsrelevanz und mutmaßlicher Erkenntnisgewinn für die Versicherten der LKK).</w:t>
      </w:r>
    </w:p>
    <w:p w14:paraId="396DEFE0" w14:textId="77777777" w:rsidR="00F37361" w:rsidRPr="00F37361" w:rsidRDefault="00F37361" w:rsidP="00F37361">
      <w:pPr>
        <w:spacing w:after="0" w:line="276" w:lineRule="auto"/>
        <w:rPr>
          <w:rFonts w:ascii="Arial" w:eastAsia="Times New Roman" w:hAnsi="Arial" w:cs="Arial"/>
          <w:color w:val="222222"/>
          <w:lang w:eastAsia="de-DE"/>
        </w:rPr>
      </w:pPr>
    </w:p>
    <w:p w14:paraId="499824AA" w14:textId="77777777" w:rsidR="00F37361" w:rsidRPr="00F37361" w:rsidRDefault="00F37361" w:rsidP="00F37361">
      <w:pPr>
        <w:numPr>
          <w:ilvl w:val="0"/>
          <w:numId w:val="33"/>
        </w:numPr>
        <w:spacing w:after="0" w:line="276" w:lineRule="auto"/>
        <w:ind w:left="360" w:hanging="357"/>
        <w:contextualSpacing/>
        <w:rPr>
          <w:rFonts w:ascii="Arial" w:eastAsia="Times New Roman" w:hAnsi="Arial" w:cs="Arial"/>
          <w:color w:val="222222"/>
          <w:lang w:eastAsia="de-DE"/>
        </w:rPr>
      </w:pPr>
      <w:r w:rsidRPr="00F37361">
        <w:rPr>
          <w:rFonts w:ascii="Arial" w:eastAsia="Times New Roman" w:hAnsi="Arial" w:cs="Arial"/>
          <w:color w:val="222222"/>
          <w:lang w:eastAsia="de-DE"/>
        </w:rPr>
        <w:t>Über die Zuwendungsvergabe wird grundsätzlich ein formgebundener Vertrag geschlossen. Die Allgemeinen Bedingungen für die Vergabe von Zuwendungen zur Projektförderung (ANBest-P) SVLFG nebst Anlagen sind Bestandteil des Vertrages.</w:t>
      </w:r>
    </w:p>
    <w:p w14:paraId="6CC361C0" w14:textId="77777777" w:rsidR="00F37361" w:rsidRPr="00F37361" w:rsidRDefault="00F37361" w:rsidP="00F37361">
      <w:pPr>
        <w:spacing w:after="0" w:line="276" w:lineRule="auto"/>
        <w:rPr>
          <w:rFonts w:ascii="Arial" w:eastAsia="Times New Roman" w:hAnsi="Arial" w:cs="Arial"/>
          <w:color w:val="222222"/>
          <w:lang w:eastAsia="de-DE"/>
        </w:rPr>
      </w:pPr>
    </w:p>
    <w:p w14:paraId="1E89F458" w14:textId="77777777" w:rsidR="00F37361" w:rsidRPr="00F37361" w:rsidRDefault="00F37361" w:rsidP="00F37361">
      <w:pPr>
        <w:spacing w:after="0" w:line="276" w:lineRule="auto"/>
        <w:rPr>
          <w:rFonts w:ascii="Arial" w:hAnsi="Arial" w:cs="Arial"/>
        </w:rPr>
      </w:pPr>
    </w:p>
    <w:p w14:paraId="2D6F9588" w14:textId="77777777" w:rsidR="00F37361" w:rsidRPr="00F37361" w:rsidRDefault="00F37361" w:rsidP="00F37361">
      <w:pPr>
        <w:numPr>
          <w:ilvl w:val="0"/>
          <w:numId w:val="34"/>
        </w:numPr>
        <w:spacing w:after="0" w:line="276" w:lineRule="auto"/>
        <w:ind w:left="426" w:hanging="426"/>
        <w:contextualSpacing/>
        <w:rPr>
          <w:rFonts w:ascii="Arial" w:hAnsi="Arial"/>
          <w:b/>
        </w:rPr>
      </w:pPr>
      <w:r w:rsidRPr="00F37361">
        <w:rPr>
          <w:rFonts w:ascii="Arial" w:hAnsi="Arial"/>
          <w:b/>
        </w:rPr>
        <w:t>Hilfreiche Informationen</w:t>
      </w:r>
    </w:p>
    <w:p w14:paraId="2CC859C6" w14:textId="77777777" w:rsidR="00F37361" w:rsidRPr="00F37361" w:rsidRDefault="00F37361" w:rsidP="00F37361">
      <w:pPr>
        <w:spacing w:after="0" w:line="276" w:lineRule="auto"/>
        <w:rPr>
          <w:rFonts w:ascii="Arial" w:hAnsi="Arial"/>
        </w:rPr>
      </w:pPr>
    </w:p>
    <w:p w14:paraId="1D28D2D4" w14:textId="77777777" w:rsidR="00F37361" w:rsidRPr="00F37361" w:rsidRDefault="00AF5A7B" w:rsidP="00F37361">
      <w:pPr>
        <w:spacing w:after="0" w:line="276" w:lineRule="auto"/>
        <w:ind w:left="426"/>
        <w:rPr>
          <w:rFonts w:ascii="Arial" w:hAnsi="Arial"/>
        </w:rPr>
      </w:pPr>
      <w:hyperlink r:id="rId11" w:history="1">
        <w:r w:rsidR="00F37361" w:rsidRPr="00F37361">
          <w:rPr>
            <w:rFonts w:ascii="Arial" w:hAnsi="Arial"/>
            <w:color w:val="0000FF"/>
            <w:u w:val="single"/>
          </w:rPr>
          <w:t>Leitfaden Prävention - GKV-Spitzenverband</w:t>
        </w:r>
      </w:hyperlink>
    </w:p>
    <w:p w14:paraId="422CD6F2" w14:textId="77777777" w:rsidR="00F37361" w:rsidRPr="00F37361" w:rsidRDefault="00F37361" w:rsidP="00F37361">
      <w:pPr>
        <w:spacing w:after="0" w:line="276" w:lineRule="auto"/>
        <w:ind w:left="426"/>
        <w:rPr>
          <w:rFonts w:ascii="Arial" w:hAnsi="Arial"/>
        </w:rPr>
      </w:pPr>
    </w:p>
    <w:p w14:paraId="4D3EEA24" w14:textId="77777777" w:rsidR="00F37361" w:rsidRPr="00F37361" w:rsidRDefault="00AF5A7B" w:rsidP="00F37361">
      <w:pPr>
        <w:spacing w:after="0" w:line="276" w:lineRule="auto"/>
        <w:ind w:left="426"/>
        <w:rPr>
          <w:rFonts w:ascii="Arial" w:hAnsi="Arial"/>
        </w:rPr>
      </w:pPr>
      <w:hyperlink r:id="rId12" w:history="1">
        <w:r w:rsidR="00F37361" w:rsidRPr="00F37361">
          <w:rPr>
            <w:rFonts w:ascii="Arial" w:hAnsi="Arial" w:cs="Arial"/>
            <w:color w:val="0000FF"/>
            <w:u w:val="single"/>
          </w:rPr>
          <w:t>Kriterien für gute Praxis der soziallagenbezogenen Gesundheitsförderung (gesundheitliche-chancengleichheit.de)</w:t>
        </w:r>
      </w:hyperlink>
    </w:p>
    <w:p w14:paraId="01A933F5" w14:textId="77777777" w:rsidR="00F37361" w:rsidRPr="00F37361" w:rsidRDefault="00F37361" w:rsidP="00F37361">
      <w:pPr>
        <w:spacing w:after="0" w:line="276" w:lineRule="auto"/>
        <w:ind w:left="426"/>
        <w:rPr>
          <w:rFonts w:ascii="Arial" w:hAnsi="Arial"/>
        </w:rPr>
      </w:pPr>
    </w:p>
    <w:p w14:paraId="533AFF6A" w14:textId="4D6DDC25" w:rsidR="00F37361" w:rsidRPr="00440945" w:rsidRDefault="00440945" w:rsidP="00F37361">
      <w:pPr>
        <w:spacing w:after="0" w:line="276" w:lineRule="auto"/>
        <w:ind w:left="426"/>
        <w:rPr>
          <w:rFonts w:ascii="Arial" w:hAnsi="Arial" w:cs="Arial"/>
        </w:rPr>
      </w:pPr>
      <w:hyperlink r:id="rId13" w:history="1">
        <w:r w:rsidRPr="00440945">
          <w:rPr>
            <w:rStyle w:val="Hyperlink"/>
            <w:rFonts w:ascii="Arial" w:hAnsi="Arial" w:cs="Arial"/>
          </w:rPr>
          <w:t>Gesunde Le</w:t>
        </w:r>
        <w:r w:rsidRPr="00440945">
          <w:rPr>
            <w:rStyle w:val="Hyperlink"/>
            <w:rFonts w:ascii="Arial" w:hAnsi="Arial" w:cs="Arial"/>
          </w:rPr>
          <w:t>b</w:t>
        </w:r>
        <w:r w:rsidRPr="00440945">
          <w:rPr>
            <w:rStyle w:val="Hyperlink"/>
            <w:rFonts w:ascii="Arial" w:hAnsi="Arial" w:cs="Arial"/>
          </w:rPr>
          <w:t>enswelten - Überblick: GKV-Bündnis für Gesundheit</w:t>
        </w:r>
      </w:hyperlink>
    </w:p>
    <w:p w14:paraId="1965754E" w14:textId="77777777" w:rsidR="00F37361" w:rsidRPr="00F37361" w:rsidRDefault="00F37361" w:rsidP="00F37361">
      <w:pPr>
        <w:spacing w:after="0" w:line="276" w:lineRule="auto"/>
        <w:rPr>
          <w:rFonts w:ascii="Arial" w:hAnsi="Arial"/>
        </w:rPr>
      </w:pPr>
    </w:p>
    <w:p w14:paraId="6451F093" w14:textId="77777777" w:rsidR="00F37361" w:rsidRPr="00F37361" w:rsidRDefault="00F37361" w:rsidP="00F37361">
      <w:pPr>
        <w:spacing w:after="0" w:line="276" w:lineRule="auto"/>
        <w:rPr>
          <w:rFonts w:ascii="Arial" w:hAnsi="Arial"/>
        </w:rPr>
      </w:pPr>
    </w:p>
    <w:p w14:paraId="36871CEE" w14:textId="77777777" w:rsidR="00F37361" w:rsidRPr="00F37361" w:rsidRDefault="00F37361" w:rsidP="00F37361">
      <w:pPr>
        <w:spacing w:after="0" w:line="276" w:lineRule="auto"/>
        <w:rPr>
          <w:rFonts w:ascii="Arial" w:hAnsi="Arial"/>
        </w:rPr>
      </w:pPr>
    </w:p>
    <w:p w14:paraId="786DB504" w14:textId="77777777" w:rsidR="00F37361" w:rsidRPr="00F37361" w:rsidRDefault="00F37361" w:rsidP="00F37361">
      <w:pPr>
        <w:spacing w:after="0" w:line="276" w:lineRule="auto"/>
        <w:rPr>
          <w:rFonts w:ascii="Arial" w:hAnsi="Arial"/>
        </w:rPr>
      </w:pPr>
    </w:p>
    <w:p w14:paraId="23C66380" w14:textId="77777777" w:rsidR="00F37361" w:rsidRPr="00F37361" w:rsidRDefault="00F37361" w:rsidP="00F37361">
      <w:pPr>
        <w:spacing w:after="0" w:line="276" w:lineRule="auto"/>
        <w:rPr>
          <w:rFonts w:ascii="Arial" w:hAnsi="Arial" w:cs="Arial"/>
        </w:rPr>
      </w:pPr>
    </w:p>
    <w:p w14:paraId="6EB91292" w14:textId="77777777" w:rsidR="006D5C7E" w:rsidRPr="00D34AC5" w:rsidRDefault="006D5C7E" w:rsidP="00FF678B">
      <w:pPr>
        <w:autoSpaceDE w:val="0"/>
        <w:autoSpaceDN w:val="0"/>
        <w:adjustRightInd w:val="0"/>
        <w:spacing w:after="0" w:line="276" w:lineRule="auto"/>
        <w:rPr>
          <w:rFonts w:ascii="Arial" w:hAnsi="Arial" w:cs="Arial"/>
          <w:color w:val="000000"/>
          <w:sz w:val="12"/>
          <w:szCs w:val="12"/>
        </w:rPr>
      </w:pPr>
    </w:p>
    <w:p w14:paraId="1A4787E8" w14:textId="77777777" w:rsidR="00766D5C" w:rsidRPr="0075026E" w:rsidRDefault="00766D5C" w:rsidP="0075026E">
      <w:pPr>
        <w:tabs>
          <w:tab w:val="left" w:pos="4962"/>
        </w:tabs>
        <w:spacing w:before="60" w:after="0" w:line="276" w:lineRule="auto"/>
        <w:rPr>
          <w:rFonts w:ascii="Arial" w:hAnsi="Arial" w:cs="Arial"/>
          <w:i/>
          <w:sz w:val="16"/>
          <w:szCs w:val="16"/>
        </w:rPr>
      </w:pPr>
    </w:p>
    <w:sectPr w:rsidR="00766D5C" w:rsidRPr="0075026E" w:rsidSect="001F3FEE">
      <w:headerReference w:type="default" r:id="rId14"/>
      <w:footerReference w:type="default" r:id="rId15"/>
      <w:pgSz w:w="11906" w:h="16838"/>
      <w:pgMar w:top="1418" w:right="1134" w:bottom="709"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C038" w14:textId="77777777" w:rsidR="00F06210" w:rsidRDefault="00F06210" w:rsidP="0085058F">
      <w:pPr>
        <w:spacing w:after="0" w:line="240" w:lineRule="auto"/>
      </w:pPr>
      <w:r>
        <w:separator/>
      </w:r>
    </w:p>
  </w:endnote>
  <w:endnote w:type="continuationSeparator" w:id="0">
    <w:p w14:paraId="1F2BBD3E" w14:textId="77777777" w:rsidR="00F06210" w:rsidRDefault="00F06210" w:rsidP="008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ondo">
    <w:altName w:val="Times New Roman"/>
    <w:panose1 w:val="00000000000000000000"/>
    <w:charset w:val="00"/>
    <w:family w:val="roman"/>
    <w:notTrueType/>
    <w:pitch w:val="default"/>
  </w:font>
  <w:font w:name="ZineSansDis-BoldRoman">
    <w:altName w:val="ZineSansDis-Bold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9478" w14:textId="0DCE9B46" w:rsidR="00F06210" w:rsidRPr="00F37361" w:rsidRDefault="00F06210" w:rsidP="001F3FEE">
    <w:pPr>
      <w:pStyle w:val="Fuzeile"/>
      <w:pBdr>
        <w:top w:val="single" w:sz="4" w:space="1" w:color="auto"/>
      </w:pBdr>
      <w:tabs>
        <w:tab w:val="clear" w:pos="4536"/>
        <w:tab w:val="clear" w:pos="9072"/>
        <w:tab w:val="right" w:pos="9638"/>
      </w:tabs>
      <w:rPr>
        <w:sz w:val="16"/>
        <w:szCs w:val="16"/>
      </w:rPr>
    </w:pPr>
    <w:r>
      <w:rPr>
        <w:sz w:val="16"/>
        <w:szCs w:val="16"/>
      </w:rPr>
      <w:t xml:space="preserve">Stand: </w:t>
    </w:r>
    <w:r w:rsidR="00251586">
      <w:rPr>
        <w:sz w:val="16"/>
        <w:szCs w:val="16"/>
      </w:rPr>
      <w:t>1</w:t>
    </w:r>
    <w:r w:rsidR="00147D5E">
      <w:rPr>
        <w:sz w:val="16"/>
        <w:szCs w:val="16"/>
      </w:rPr>
      <w:t>1.</w:t>
    </w:r>
    <w:r w:rsidR="00251586">
      <w:rPr>
        <w:sz w:val="16"/>
        <w:szCs w:val="16"/>
      </w:rPr>
      <w:t>12</w:t>
    </w:r>
    <w:r w:rsidR="00147D5E">
      <w:rPr>
        <w:sz w:val="16"/>
        <w:szCs w:val="16"/>
      </w:rPr>
      <w:t>.2025</w:t>
    </w:r>
    <w:r w:rsidR="001F3FEE">
      <w:rPr>
        <w:sz w:val="16"/>
        <w:szCs w:val="16"/>
      </w:rPr>
      <w:tab/>
    </w:r>
    <w:sdt>
      <w:sdtPr>
        <w:rPr>
          <w:sz w:val="16"/>
          <w:szCs w:val="16"/>
        </w:rPr>
        <w:id w:val="601534810"/>
        <w:docPartObj>
          <w:docPartGallery w:val="Page Numbers (Bottom of Page)"/>
          <w:docPartUnique/>
        </w:docPartObj>
      </w:sdtPr>
      <w:sdtEndPr/>
      <w:sdtContent>
        <w:r w:rsidRPr="0009347C">
          <w:rPr>
            <w:sz w:val="16"/>
            <w:szCs w:val="16"/>
          </w:rPr>
          <w:fldChar w:fldCharType="begin"/>
        </w:r>
        <w:r w:rsidRPr="0009347C">
          <w:rPr>
            <w:sz w:val="16"/>
            <w:szCs w:val="16"/>
          </w:rPr>
          <w:instrText>PAGE   \* MERGEFORMAT</w:instrText>
        </w:r>
        <w:r w:rsidRPr="0009347C">
          <w:rPr>
            <w:sz w:val="16"/>
            <w:szCs w:val="16"/>
          </w:rPr>
          <w:fldChar w:fldCharType="separate"/>
        </w:r>
        <w:r w:rsidR="009232E6">
          <w:rPr>
            <w:noProof/>
            <w:sz w:val="16"/>
            <w:szCs w:val="16"/>
          </w:rPr>
          <w:t>4</w:t>
        </w:r>
        <w:r w:rsidRPr="0009347C">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6347" w14:textId="77777777" w:rsidR="00F06210" w:rsidRDefault="00F06210" w:rsidP="0085058F">
      <w:pPr>
        <w:spacing w:after="0" w:line="240" w:lineRule="auto"/>
      </w:pPr>
      <w:r>
        <w:separator/>
      </w:r>
    </w:p>
  </w:footnote>
  <w:footnote w:type="continuationSeparator" w:id="0">
    <w:p w14:paraId="168A4B20" w14:textId="77777777" w:rsidR="00F06210" w:rsidRDefault="00F06210" w:rsidP="0085058F">
      <w:pPr>
        <w:spacing w:after="0" w:line="240" w:lineRule="auto"/>
      </w:pPr>
      <w:r>
        <w:continuationSeparator/>
      </w:r>
    </w:p>
  </w:footnote>
  <w:footnote w:id="1">
    <w:p w14:paraId="0CE3E185" w14:textId="77777777" w:rsidR="00F37361" w:rsidRPr="00F37361" w:rsidRDefault="00F37361" w:rsidP="00F37361">
      <w:pPr>
        <w:spacing w:after="0"/>
        <w:rPr>
          <w:sz w:val="16"/>
          <w:szCs w:val="16"/>
        </w:rPr>
      </w:pPr>
      <w:r w:rsidRPr="00F37361">
        <w:rPr>
          <w:rStyle w:val="Funotenzeichen"/>
          <w:sz w:val="16"/>
          <w:szCs w:val="16"/>
        </w:rPr>
        <w:footnoteRef/>
      </w:r>
      <w:r w:rsidRPr="00F37361">
        <w:rPr>
          <w:sz w:val="16"/>
          <w:szCs w:val="16"/>
        </w:rPr>
        <w:t xml:space="preserve"> </w:t>
      </w:r>
      <w:hyperlink r:id="rId1" w:history="1">
        <w:r w:rsidRPr="00F37361">
          <w:rPr>
            <w:rStyle w:val="Hyperlink"/>
            <w:sz w:val="16"/>
            <w:szCs w:val="16"/>
          </w:rPr>
          <w:t>Leitfaden Prävention - GKV-Spitzenverband</w:t>
        </w:r>
      </w:hyperlink>
    </w:p>
  </w:footnote>
  <w:footnote w:id="2">
    <w:p w14:paraId="1D4F71C0" w14:textId="77777777" w:rsidR="00F37361" w:rsidRPr="00F37361" w:rsidRDefault="00F37361" w:rsidP="00F37361">
      <w:pPr>
        <w:pStyle w:val="Funotentext"/>
        <w:rPr>
          <w:rFonts w:cs="Arial"/>
          <w:sz w:val="16"/>
          <w:szCs w:val="16"/>
        </w:rPr>
      </w:pPr>
      <w:r w:rsidRPr="00F37361">
        <w:rPr>
          <w:rStyle w:val="Funotenzeichen"/>
          <w:sz w:val="16"/>
          <w:szCs w:val="16"/>
        </w:rPr>
        <w:footnoteRef/>
      </w:r>
      <w:r w:rsidRPr="00F37361">
        <w:rPr>
          <w:sz w:val="16"/>
          <w:szCs w:val="16"/>
        </w:rPr>
        <w:t xml:space="preserve"> </w:t>
      </w:r>
      <w:hyperlink r:id="rId2" w:history="1">
        <w:r w:rsidRPr="00F37361">
          <w:rPr>
            <w:rStyle w:val="Hyperlink"/>
            <w:rFonts w:cs="Arial"/>
            <w:sz w:val="16"/>
            <w:szCs w:val="16"/>
          </w:rPr>
          <w:t>Kriterien für gute Praxis der soziallagenbezogenen Gesundheitsförderung (gesundheitliche-chancengleichheit.de)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04CB" w14:textId="6356B91E" w:rsidR="00F06210" w:rsidRPr="00FF678B" w:rsidRDefault="00F06210" w:rsidP="001F3FEE">
    <w:pPr>
      <w:pBdr>
        <w:bottom w:val="single" w:sz="4" w:space="1" w:color="auto"/>
      </w:pBdr>
      <w:tabs>
        <w:tab w:val="left" w:pos="708"/>
        <w:tab w:val="left" w:pos="3300"/>
        <w:tab w:val="left" w:pos="6525"/>
        <w:tab w:val="right" w:pos="9072"/>
      </w:tabs>
      <w:jc w:val="right"/>
      <w:rPr>
        <w:rFonts w:ascii="Arial" w:hAnsi="Arial" w:cs="Arial"/>
        <w:sz w:val="16"/>
        <w:szCs w:val="16"/>
      </w:rPr>
    </w:pPr>
    <w:r w:rsidRPr="00FF678B">
      <w:rPr>
        <w:rFonts w:ascii="Arial" w:hAnsi="Arial" w:cs="Arial"/>
        <w:sz w:val="16"/>
        <w:szCs w:val="16"/>
      </w:rPr>
      <w:tab/>
    </w:r>
    <w:r w:rsidRPr="00FF678B">
      <w:rPr>
        <w:rFonts w:ascii="Arial" w:hAnsi="Arial" w:cs="Arial"/>
        <w:sz w:val="16"/>
        <w:szCs w:val="16"/>
      </w:rPr>
      <w:tab/>
    </w:r>
    <w:r w:rsidRPr="00FF678B">
      <w:rPr>
        <w:rFonts w:ascii="Arial" w:hAnsi="Arial" w:cs="Arial"/>
        <w:sz w:val="16"/>
        <w:szCs w:val="16"/>
      </w:rPr>
      <w:tab/>
    </w:r>
    <w:r w:rsidRPr="00FF678B">
      <w:rPr>
        <w:rFonts w:ascii="Arial" w:hAnsi="Arial" w:cs="Arial"/>
        <w:sz w:val="16"/>
        <w:szCs w:val="16"/>
      </w:rPr>
      <w:tab/>
    </w:r>
    <w:r w:rsidRPr="00FF678B">
      <w:rPr>
        <w:noProof/>
        <w:sz w:val="16"/>
        <w:szCs w:val="16"/>
        <w:lang w:eastAsia="de-DE"/>
      </w:rPr>
      <w:drawing>
        <wp:inline distT="0" distB="0" distL="0" distR="0" wp14:anchorId="35CDA886" wp14:editId="782DA4BC">
          <wp:extent cx="814770" cy="360000"/>
          <wp:effectExtent l="0" t="0" r="4445" b="2540"/>
          <wp:docPr id="8" name="Bild 1" descr="Logo_SVLFG_Schriftzu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VLFG_Schriftzug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770"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559"/>
    <w:multiLevelType w:val="hybridMultilevel"/>
    <w:tmpl w:val="4078BA84"/>
    <w:lvl w:ilvl="0" w:tplc="0F8CA988">
      <w:start w:val="1"/>
      <w:numFmt w:val="upp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B108E6"/>
    <w:multiLevelType w:val="hybridMultilevel"/>
    <w:tmpl w:val="0756F1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B37B7F"/>
    <w:multiLevelType w:val="multilevel"/>
    <w:tmpl w:val="264EE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344EE"/>
    <w:multiLevelType w:val="hybridMultilevel"/>
    <w:tmpl w:val="7F3CAA38"/>
    <w:lvl w:ilvl="0" w:tplc="530C6E18">
      <w:start w:val="1"/>
      <w:numFmt w:val="bullet"/>
      <w:lvlText w:val="&gt;"/>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937B8A"/>
    <w:multiLevelType w:val="hybridMultilevel"/>
    <w:tmpl w:val="58BC8FE0"/>
    <w:lvl w:ilvl="0" w:tplc="D772EC54">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770CCF"/>
    <w:multiLevelType w:val="hybridMultilevel"/>
    <w:tmpl w:val="C786F4E0"/>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B14AB2"/>
    <w:multiLevelType w:val="hybridMultilevel"/>
    <w:tmpl w:val="C57CCA1E"/>
    <w:lvl w:ilvl="0" w:tplc="BEE62314">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8024987"/>
    <w:multiLevelType w:val="hybridMultilevel"/>
    <w:tmpl w:val="AC303C7E"/>
    <w:lvl w:ilvl="0" w:tplc="378A0D9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9865258"/>
    <w:multiLevelType w:val="hybridMultilevel"/>
    <w:tmpl w:val="87AA0A7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397D2C"/>
    <w:multiLevelType w:val="hybridMultilevel"/>
    <w:tmpl w:val="84B8FA94"/>
    <w:lvl w:ilvl="0" w:tplc="0A7A6F48">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0226DA"/>
    <w:multiLevelType w:val="hybridMultilevel"/>
    <w:tmpl w:val="A556838A"/>
    <w:lvl w:ilvl="0" w:tplc="EE6A0DAE">
      <w:start w:val="1"/>
      <w:numFmt w:val="bullet"/>
      <w:lvlText w:val="&gt;"/>
      <w:lvlJc w:val="left"/>
      <w:pPr>
        <w:ind w:left="720"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DD5563"/>
    <w:multiLevelType w:val="hybridMultilevel"/>
    <w:tmpl w:val="1A5A6B28"/>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2CEA5077"/>
    <w:multiLevelType w:val="hybridMultilevel"/>
    <w:tmpl w:val="3F46BD64"/>
    <w:lvl w:ilvl="0" w:tplc="04070005">
      <w:start w:val="1"/>
      <w:numFmt w:val="bullet"/>
      <w:lvlText w:val=""/>
      <w:lvlJc w:val="left"/>
      <w:pPr>
        <w:ind w:left="1428" w:hanging="360"/>
      </w:pPr>
      <w:rPr>
        <w:rFonts w:ascii="Wingdings" w:hAnsi="Wingding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2F3E13B5"/>
    <w:multiLevelType w:val="hybridMultilevel"/>
    <w:tmpl w:val="593268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6A20FA"/>
    <w:multiLevelType w:val="hybridMultilevel"/>
    <w:tmpl w:val="AADC6EF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C6748C"/>
    <w:multiLevelType w:val="hybridMultilevel"/>
    <w:tmpl w:val="CBFE66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4C4AA9"/>
    <w:multiLevelType w:val="hybridMultilevel"/>
    <w:tmpl w:val="F410902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9A36193"/>
    <w:multiLevelType w:val="hybridMultilevel"/>
    <w:tmpl w:val="2D6CEE4C"/>
    <w:lvl w:ilvl="0" w:tplc="04070005">
      <w:start w:val="1"/>
      <w:numFmt w:val="bullet"/>
      <w:lvlText w:val=""/>
      <w:lvlJc w:val="left"/>
      <w:pPr>
        <w:ind w:left="1068" w:hanging="360"/>
      </w:pPr>
      <w:rPr>
        <w:rFonts w:ascii="Wingdings" w:hAnsi="Wingdings" w:hint="default"/>
      </w:rPr>
    </w:lvl>
    <w:lvl w:ilvl="1" w:tplc="13E474FA">
      <w:numFmt w:val="bullet"/>
      <w:lvlText w:val="-"/>
      <w:lvlJc w:val="left"/>
      <w:pPr>
        <w:ind w:left="1788" w:hanging="360"/>
      </w:pPr>
      <w:rPr>
        <w:rFonts w:ascii="Arial" w:eastAsiaTheme="minorHAnsi" w:hAnsi="Arial"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A7A2AA8"/>
    <w:multiLevelType w:val="hybridMultilevel"/>
    <w:tmpl w:val="0F266926"/>
    <w:lvl w:ilvl="0" w:tplc="D8862C04">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5E490B"/>
    <w:multiLevelType w:val="hybridMultilevel"/>
    <w:tmpl w:val="C80E4E0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ED3ECD"/>
    <w:multiLevelType w:val="hybridMultilevel"/>
    <w:tmpl w:val="EB6E9CE4"/>
    <w:lvl w:ilvl="0" w:tplc="04070005">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CD627DA"/>
    <w:multiLevelType w:val="hybridMultilevel"/>
    <w:tmpl w:val="087E2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D552D7A"/>
    <w:multiLevelType w:val="hybridMultilevel"/>
    <w:tmpl w:val="A76EAB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826844"/>
    <w:multiLevelType w:val="hybridMultilevel"/>
    <w:tmpl w:val="840073E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AD7583"/>
    <w:multiLevelType w:val="hybridMultilevel"/>
    <w:tmpl w:val="9626AA06"/>
    <w:lvl w:ilvl="0" w:tplc="04070017">
      <w:start w:val="1"/>
      <w:numFmt w:val="lowerLetter"/>
      <w:lvlText w:val="%1)"/>
      <w:lvlJc w:val="left"/>
      <w:pPr>
        <w:ind w:left="6173"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1B3217"/>
    <w:multiLevelType w:val="hybridMultilevel"/>
    <w:tmpl w:val="C032C48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79177D"/>
    <w:multiLevelType w:val="hybridMultilevel"/>
    <w:tmpl w:val="9FD080AC"/>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0252F9"/>
    <w:multiLevelType w:val="hybridMultilevel"/>
    <w:tmpl w:val="0ABABF3A"/>
    <w:lvl w:ilvl="0" w:tplc="13E474F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89C7FA5"/>
    <w:multiLevelType w:val="hybridMultilevel"/>
    <w:tmpl w:val="C0FCF3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E83867"/>
    <w:multiLevelType w:val="hybridMultilevel"/>
    <w:tmpl w:val="61E05056"/>
    <w:lvl w:ilvl="0" w:tplc="0407000F">
      <w:start w:val="1"/>
      <w:numFmt w:val="decimal"/>
      <w:lvlText w:val="%1."/>
      <w:lvlJc w:val="left"/>
      <w:pPr>
        <w:ind w:left="360" w:hanging="360"/>
      </w:pPr>
    </w:lvl>
    <w:lvl w:ilvl="1" w:tplc="848453A8">
      <w:numFmt w:val="bullet"/>
      <w:lvlText w:val="•"/>
      <w:lvlJc w:val="left"/>
      <w:pPr>
        <w:ind w:left="1080" w:hanging="360"/>
      </w:pPr>
      <w:rPr>
        <w:rFonts w:ascii="Arial" w:eastAsiaTheme="minorHAns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F002EC7"/>
    <w:multiLevelType w:val="hybridMultilevel"/>
    <w:tmpl w:val="AB544A22"/>
    <w:lvl w:ilvl="0" w:tplc="E660751A">
      <w:start w:val="2"/>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0623C5E"/>
    <w:multiLevelType w:val="hybridMultilevel"/>
    <w:tmpl w:val="1FC87C4C"/>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0B64E75"/>
    <w:multiLevelType w:val="hybridMultilevel"/>
    <w:tmpl w:val="442EF8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742CBE"/>
    <w:multiLevelType w:val="hybridMultilevel"/>
    <w:tmpl w:val="0B3C601E"/>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59D596B"/>
    <w:multiLevelType w:val="hybridMultilevel"/>
    <w:tmpl w:val="321E2F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441EEA"/>
    <w:multiLevelType w:val="hybridMultilevel"/>
    <w:tmpl w:val="69EACA02"/>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B507E02"/>
    <w:multiLevelType w:val="hybridMultilevel"/>
    <w:tmpl w:val="BE7E68B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90792674">
    <w:abstractNumId w:val="29"/>
  </w:num>
  <w:num w:numId="2" w16cid:durableId="1528910611">
    <w:abstractNumId w:val="27"/>
  </w:num>
  <w:num w:numId="3" w16cid:durableId="1741559856">
    <w:abstractNumId w:val="31"/>
  </w:num>
  <w:num w:numId="4" w16cid:durableId="232544746">
    <w:abstractNumId w:val="9"/>
  </w:num>
  <w:num w:numId="5" w16cid:durableId="628361381">
    <w:abstractNumId w:val="5"/>
  </w:num>
  <w:num w:numId="6" w16cid:durableId="691878691">
    <w:abstractNumId w:val="24"/>
  </w:num>
  <w:num w:numId="7" w16cid:durableId="1371682177">
    <w:abstractNumId w:val="0"/>
  </w:num>
  <w:num w:numId="8" w16cid:durableId="423309772">
    <w:abstractNumId w:val="8"/>
  </w:num>
  <w:num w:numId="9" w16cid:durableId="899289367">
    <w:abstractNumId w:val="2"/>
  </w:num>
  <w:num w:numId="10" w16cid:durableId="1470853557">
    <w:abstractNumId w:val="15"/>
  </w:num>
  <w:num w:numId="11" w16cid:durableId="597641259">
    <w:abstractNumId w:val="32"/>
  </w:num>
  <w:num w:numId="12" w16cid:durableId="1809740892">
    <w:abstractNumId w:val="22"/>
  </w:num>
  <w:num w:numId="13" w16cid:durableId="1175195115">
    <w:abstractNumId w:val="13"/>
  </w:num>
  <w:num w:numId="14" w16cid:durableId="389159086">
    <w:abstractNumId w:val="25"/>
  </w:num>
  <w:num w:numId="15" w16cid:durableId="1540818074">
    <w:abstractNumId w:val="20"/>
  </w:num>
  <w:num w:numId="16" w16cid:durableId="1947153475">
    <w:abstractNumId w:val="17"/>
  </w:num>
  <w:num w:numId="17" w16cid:durableId="1358896834">
    <w:abstractNumId w:val="28"/>
  </w:num>
  <w:num w:numId="18" w16cid:durableId="205264945">
    <w:abstractNumId w:val="19"/>
  </w:num>
  <w:num w:numId="19" w16cid:durableId="113718890">
    <w:abstractNumId w:val="36"/>
  </w:num>
  <w:num w:numId="20" w16cid:durableId="1514883612">
    <w:abstractNumId w:val="6"/>
  </w:num>
  <w:num w:numId="21" w16cid:durableId="2134980682">
    <w:abstractNumId w:val="18"/>
  </w:num>
  <w:num w:numId="22" w16cid:durableId="969673798">
    <w:abstractNumId w:val="33"/>
  </w:num>
  <w:num w:numId="23" w16cid:durableId="374890772">
    <w:abstractNumId w:val="26"/>
  </w:num>
  <w:num w:numId="24" w16cid:durableId="537545119">
    <w:abstractNumId w:val="21"/>
  </w:num>
  <w:num w:numId="25" w16cid:durableId="1165441829">
    <w:abstractNumId w:val="35"/>
  </w:num>
  <w:num w:numId="26" w16cid:durableId="1821531738">
    <w:abstractNumId w:val="3"/>
  </w:num>
  <w:num w:numId="27" w16cid:durableId="170993709">
    <w:abstractNumId w:val="10"/>
  </w:num>
  <w:num w:numId="28" w16cid:durableId="1088650538">
    <w:abstractNumId w:val="1"/>
  </w:num>
  <w:num w:numId="29" w16cid:durableId="979770020">
    <w:abstractNumId w:val="4"/>
  </w:num>
  <w:num w:numId="30" w16cid:durableId="1997873053">
    <w:abstractNumId w:val="30"/>
  </w:num>
  <w:num w:numId="31" w16cid:durableId="1847092106">
    <w:abstractNumId w:val="34"/>
  </w:num>
  <w:num w:numId="32" w16cid:durableId="2009822966">
    <w:abstractNumId w:val="23"/>
  </w:num>
  <w:num w:numId="33" w16cid:durableId="1827088758">
    <w:abstractNumId w:val="14"/>
  </w:num>
  <w:num w:numId="34" w16cid:durableId="1053650012">
    <w:abstractNumId w:val="7"/>
  </w:num>
  <w:num w:numId="35" w16cid:durableId="554783856">
    <w:abstractNumId w:val="11"/>
  </w:num>
  <w:num w:numId="36" w16cid:durableId="1918054384">
    <w:abstractNumId w:val="12"/>
  </w:num>
  <w:num w:numId="37" w16cid:durableId="26824293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readOnly" w:enforcement="1"/>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4F"/>
    <w:rsid w:val="00002E80"/>
    <w:rsid w:val="00004D4C"/>
    <w:rsid w:val="00014358"/>
    <w:rsid w:val="00014F30"/>
    <w:rsid w:val="000158EB"/>
    <w:rsid w:val="00017A06"/>
    <w:rsid w:val="00022814"/>
    <w:rsid w:val="00024BE0"/>
    <w:rsid w:val="00043A94"/>
    <w:rsid w:val="000463F6"/>
    <w:rsid w:val="0005118B"/>
    <w:rsid w:val="0006015F"/>
    <w:rsid w:val="00067499"/>
    <w:rsid w:val="00072F77"/>
    <w:rsid w:val="000869C2"/>
    <w:rsid w:val="00086B33"/>
    <w:rsid w:val="00086CB2"/>
    <w:rsid w:val="00092914"/>
    <w:rsid w:val="00093502"/>
    <w:rsid w:val="000A3375"/>
    <w:rsid w:val="000A4C30"/>
    <w:rsid w:val="000A56B7"/>
    <w:rsid w:val="000A7E18"/>
    <w:rsid w:val="000B318F"/>
    <w:rsid w:val="000C5D66"/>
    <w:rsid w:val="000D33F3"/>
    <w:rsid w:val="000D3A46"/>
    <w:rsid w:val="000D3D41"/>
    <w:rsid w:val="000D5F26"/>
    <w:rsid w:val="000D798D"/>
    <w:rsid w:val="000E3B58"/>
    <w:rsid w:val="000E4622"/>
    <w:rsid w:val="000E7117"/>
    <w:rsid w:val="000F1004"/>
    <w:rsid w:val="000F1FF8"/>
    <w:rsid w:val="00103610"/>
    <w:rsid w:val="0011719E"/>
    <w:rsid w:val="00134C0C"/>
    <w:rsid w:val="00136A63"/>
    <w:rsid w:val="001374F0"/>
    <w:rsid w:val="0014129B"/>
    <w:rsid w:val="00143DD5"/>
    <w:rsid w:val="00147D5E"/>
    <w:rsid w:val="00147E4E"/>
    <w:rsid w:val="00154EA2"/>
    <w:rsid w:val="00155295"/>
    <w:rsid w:val="00175BC5"/>
    <w:rsid w:val="00176AE2"/>
    <w:rsid w:val="00176D88"/>
    <w:rsid w:val="00177F17"/>
    <w:rsid w:val="001B0678"/>
    <w:rsid w:val="001B0EB5"/>
    <w:rsid w:val="001C5FD4"/>
    <w:rsid w:val="001D6438"/>
    <w:rsid w:val="001D732A"/>
    <w:rsid w:val="001E12E1"/>
    <w:rsid w:val="001E13C8"/>
    <w:rsid w:val="001E5B58"/>
    <w:rsid w:val="001E63FE"/>
    <w:rsid w:val="001F3FEE"/>
    <w:rsid w:val="002114F5"/>
    <w:rsid w:val="0022089A"/>
    <w:rsid w:val="00222E51"/>
    <w:rsid w:val="00243664"/>
    <w:rsid w:val="00243E7F"/>
    <w:rsid w:val="00247E4B"/>
    <w:rsid w:val="00251586"/>
    <w:rsid w:val="00251AA9"/>
    <w:rsid w:val="00253526"/>
    <w:rsid w:val="0028071B"/>
    <w:rsid w:val="002936E9"/>
    <w:rsid w:val="002975DE"/>
    <w:rsid w:val="002D5201"/>
    <w:rsid w:val="002E4915"/>
    <w:rsid w:val="002E6E8A"/>
    <w:rsid w:val="002E749B"/>
    <w:rsid w:val="002F1B23"/>
    <w:rsid w:val="002F3D49"/>
    <w:rsid w:val="002F49F4"/>
    <w:rsid w:val="002F5CC3"/>
    <w:rsid w:val="00301BD2"/>
    <w:rsid w:val="00302E7A"/>
    <w:rsid w:val="00312351"/>
    <w:rsid w:val="00313641"/>
    <w:rsid w:val="00330CEA"/>
    <w:rsid w:val="00331A1E"/>
    <w:rsid w:val="00350A76"/>
    <w:rsid w:val="00357D05"/>
    <w:rsid w:val="00381857"/>
    <w:rsid w:val="003820D9"/>
    <w:rsid w:val="00383BD0"/>
    <w:rsid w:val="003951A7"/>
    <w:rsid w:val="00396299"/>
    <w:rsid w:val="003A10A2"/>
    <w:rsid w:val="003B0944"/>
    <w:rsid w:val="003B1D38"/>
    <w:rsid w:val="003C1A0D"/>
    <w:rsid w:val="003C4FE9"/>
    <w:rsid w:val="003D66DC"/>
    <w:rsid w:val="003F3074"/>
    <w:rsid w:val="00421EE3"/>
    <w:rsid w:val="00424146"/>
    <w:rsid w:val="00440945"/>
    <w:rsid w:val="004833B8"/>
    <w:rsid w:val="00486B8B"/>
    <w:rsid w:val="00491177"/>
    <w:rsid w:val="004A52AF"/>
    <w:rsid w:val="004B3DBA"/>
    <w:rsid w:val="004C4AFB"/>
    <w:rsid w:val="004C503F"/>
    <w:rsid w:val="004D1291"/>
    <w:rsid w:val="004D57D2"/>
    <w:rsid w:val="004D5902"/>
    <w:rsid w:val="004D7AE2"/>
    <w:rsid w:val="004E1C24"/>
    <w:rsid w:val="004F1021"/>
    <w:rsid w:val="004F1E16"/>
    <w:rsid w:val="00505AD8"/>
    <w:rsid w:val="005154DE"/>
    <w:rsid w:val="00520D95"/>
    <w:rsid w:val="00521CA2"/>
    <w:rsid w:val="0054019B"/>
    <w:rsid w:val="0054398A"/>
    <w:rsid w:val="005472ED"/>
    <w:rsid w:val="005473D8"/>
    <w:rsid w:val="00553D25"/>
    <w:rsid w:val="005563FF"/>
    <w:rsid w:val="005573DE"/>
    <w:rsid w:val="00566223"/>
    <w:rsid w:val="00571C58"/>
    <w:rsid w:val="00572DAF"/>
    <w:rsid w:val="0057533D"/>
    <w:rsid w:val="00582EE9"/>
    <w:rsid w:val="00583A7A"/>
    <w:rsid w:val="005A2C49"/>
    <w:rsid w:val="005A4304"/>
    <w:rsid w:val="005A4D47"/>
    <w:rsid w:val="005B1481"/>
    <w:rsid w:val="005D1BAC"/>
    <w:rsid w:val="005D2D94"/>
    <w:rsid w:val="005E7387"/>
    <w:rsid w:val="005F0B8A"/>
    <w:rsid w:val="005F36AC"/>
    <w:rsid w:val="005F4AD0"/>
    <w:rsid w:val="005F5C60"/>
    <w:rsid w:val="005F744A"/>
    <w:rsid w:val="00605919"/>
    <w:rsid w:val="006264EE"/>
    <w:rsid w:val="006334E2"/>
    <w:rsid w:val="00651B0C"/>
    <w:rsid w:val="00653CBF"/>
    <w:rsid w:val="0066694E"/>
    <w:rsid w:val="0067012F"/>
    <w:rsid w:val="006A1458"/>
    <w:rsid w:val="006B389A"/>
    <w:rsid w:val="006B6252"/>
    <w:rsid w:val="006C099F"/>
    <w:rsid w:val="006C2AD3"/>
    <w:rsid w:val="006C4295"/>
    <w:rsid w:val="006D0135"/>
    <w:rsid w:val="006D5C7E"/>
    <w:rsid w:val="006D5C85"/>
    <w:rsid w:val="006E4C98"/>
    <w:rsid w:val="006E4CF3"/>
    <w:rsid w:val="0072078D"/>
    <w:rsid w:val="0074157B"/>
    <w:rsid w:val="0075026E"/>
    <w:rsid w:val="0075532E"/>
    <w:rsid w:val="007556E4"/>
    <w:rsid w:val="00766D5C"/>
    <w:rsid w:val="00777CB0"/>
    <w:rsid w:val="00786A16"/>
    <w:rsid w:val="00790FB3"/>
    <w:rsid w:val="00795E20"/>
    <w:rsid w:val="007A04D8"/>
    <w:rsid w:val="007C4AC2"/>
    <w:rsid w:val="007D40B2"/>
    <w:rsid w:val="007E5B60"/>
    <w:rsid w:val="007E6B00"/>
    <w:rsid w:val="00815796"/>
    <w:rsid w:val="00821ACD"/>
    <w:rsid w:val="00845999"/>
    <w:rsid w:val="0085058F"/>
    <w:rsid w:val="00876AE8"/>
    <w:rsid w:val="008851C2"/>
    <w:rsid w:val="008854FB"/>
    <w:rsid w:val="008925BC"/>
    <w:rsid w:val="008A0858"/>
    <w:rsid w:val="008A61A4"/>
    <w:rsid w:val="008A64DD"/>
    <w:rsid w:val="008B3177"/>
    <w:rsid w:val="008B52B7"/>
    <w:rsid w:val="008B59E3"/>
    <w:rsid w:val="008C305D"/>
    <w:rsid w:val="008D4379"/>
    <w:rsid w:val="008D5978"/>
    <w:rsid w:val="008D6473"/>
    <w:rsid w:val="008E06C9"/>
    <w:rsid w:val="008E3692"/>
    <w:rsid w:val="008E7C9F"/>
    <w:rsid w:val="008F0CB4"/>
    <w:rsid w:val="00903DAC"/>
    <w:rsid w:val="00907F1F"/>
    <w:rsid w:val="00922758"/>
    <w:rsid w:val="00922C02"/>
    <w:rsid w:val="009232E6"/>
    <w:rsid w:val="00923D47"/>
    <w:rsid w:val="00926026"/>
    <w:rsid w:val="00926752"/>
    <w:rsid w:val="009406B0"/>
    <w:rsid w:val="009548DF"/>
    <w:rsid w:val="0095749E"/>
    <w:rsid w:val="00962AE7"/>
    <w:rsid w:val="00976101"/>
    <w:rsid w:val="00980772"/>
    <w:rsid w:val="00984AE7"/>
    <w:rsid w:val="00997910"/>
    <w:rsid w:val="009B0593"/>
    <w:rsid w:val="009B600B"/>
    <w:rsid w:val="009C04EC"/>
    <w:rsid w:val="009D6093"/>
    <w:rsid w:val="009D67AC"/>
    <w:rsid w:val="009F240C"/>
    <w:rsid w:val="009F3536"/>
    <w:rsid w:val="00A1136B"/>
    <w:rsid w:val="00A1304F"/>
    <w:rsid w:val="00A20F07"/>
    <w:rsid w:val="00A3143B"/>
    <w:rsid w:val="00A40E42"/>
    <w:rsid w:val="00A450E8"/>
    <w:rsid w:val="00A570A5"/>
    <w:rsid w:val="00A75C0B"/>
    <w:rsid w:val="00A76E20"/>
    <w:rsid w:val="00A81350"/>
    <w:rsid w:val="00A90E7E"/>
    <w:rsid w:val="00A9197D"/>
    <w:rsid w:val="00AB6CFA"/>
    <w:rsid w:val="00AD7A1C"/>
    <w:rsid w:val="00AE2ABB"/>
    <w:rsid w:val="00AE5EBD"/>
    <w:rsid w:val="00AF5A7B"/>
    <w:rsid w:val="00B100AC"/>
    <w:rsid w:val="00B118DD"/>
    <w:rsid w:val="00B13066"/>
    <w:rsid w:val="00B2211A"/>
    <w:rsid w:val="00B2238A"/>
    <w:rsid w:val="00B23F0F"/>
    <w:rsid w:val="00B24AF2"/>
    <w:rsid w:val="00B41055"/>
    <w:rsid w:val="00B42486"/>
    <w:rsid w:val="00B50E4E"/>
    <w:rsid w:val="00B5115A"/>
    <w:rsid w:val="00B51DFB"/>
    <w:rsid w:val="00B53341"/>
    <w:rsid w:val="00B55600"/>
    <w:rsid w:val="00B62E97"/>
    <w:rsid w:val="00B63BA3"/>
    <w:rsid w:val="00B665A2"/>
    <w:rsid w:val="00B75281"/>
    <w:rsid w:val="00B75C43"/>
    <w:rsid w:val="00B80856"/>
    <w:rsid w:val="00B96687"/>
    <w:rsid w:val="00BA3F68"/>
    <w:rsid w:val="00BA49C9"/>
    <w:rsid w:val="00BB5BE9"/>
    <w:rsid w:val="00BC0481"/>
    <w:rsid w:val="00BC153B"/>
    <w:rsid w:val="00BC3B6E"/>
    <w:rsid w:val="00BD17D7"/>
    <w:rsid w:val="00BD1DD2"/>
    <w:rsid w:val="00BD6F89"/>
    <w:rsid w:val="00BF1BC9"/>
    <w:rsid w:val="00C004A6"/>
    <w:rsid w:val="00C03216"/>
    <w:rsid w:val="00C13D1A"/>
    <w:rsid w:val="00C161E7"/>
    <w:rsid w:val="00C16CB9"/>
    <w:rsid w:val="00C22D91"/>
    <w:rsid w:val="00C26F5A"/>
    <w:rsid w:val="00C33410"/>
    <w:rsid w:val="00C34955"/>
    <w:rsid w:val="00C35F13"/>
    <w:rsid w:val="00C36D81"/>
    <w:rsid w:val="00C4481E"/>
    <w:rsid w:val="00C477E4"/>
    <w:rsid w:val="00C52CB6"/>
    <w:rsid w:val="00C64059"/>
    <w:rsid w:val="00C64574"/>
    <w:rsid w:val="00C771FA"/>
    <w:rsid w:val="00C80144"/>
    <w:rsid w:val="00C857C1"/>
    <w:rsid w:val="00C94461"/>
    <w:rsid w:val="00CA1C1B"/>
    <w:rsid w:val="00CA1D14"/>
    <w:rsid w:val="00CC08B4"/>
    <w:rsid w:val="00CC3157"/>
    <w:rsid w:val="00CC3987"/>
    <w:rsid w:val="00CC5B01"/>
    <w:rsid w:val="00CD13F4"/>
    <w:rsid w:val="00CD4A3F"/>
    <w:rsid w:val="00CE21D7"/>
    <w:rsid w:val="00CE669B"/>
    <w:rsid w:val="00CF1D87"/>
    <w:rsid w:val="00D1538D"/>
    <w:rsid w:val="00D15D17"/>
    <w:rsid w:val="00D233E5"/>
    <w:rsid w:val="00D25AB1"/>
    <w:rsid w:val="00D26EC1"/>
    <w:rsid w:val="00D31178"/>
    <w:rsid w:val="00D32551"/>
    <w:rsid w:val="00D32DEA"/>
    <w:rsid w:val="00D339DA"/>
    <w:rsid w:val="00D34AC5"/>
    <w:rsid w:val="00D35528"/>
    <w:rsid w:val="00D4003A"/>
    <w:rsid w:val="00D4181E"/>
    <w:rsid w:val="00D418E7"/>
    <w:rsid w:val="00D501B5"/>
    <w:rsid w:val="00D51A90"/>
    <w:rsid w:val="00D54C5E"/>
    <w:rsid w:val="00D57E89"/>
    <w:rsid w:val="00D64BB7"/>
    <w:rsid w:val="00D723F7"/>
    <w:rsid w:val="00D76C0D"/>
    <w:rsid w:val="00D80C9F"/>
    <w:rsid w:val="00D84DF0"/>
    <w:rsid w:val="00D86E7C"/>
    <w:rsid w:val="00DA175A"/>
    <w:rsid w:val="00DA1FD0"/>
    <w:rsid w:val="00DB2172"/>
    <w:rsid w:val="00DB2AFE"/>
    <w:rsid w:val="00DB570F"/>
    <w:rsid w:val="00DB7976"/>
    <w:rsid w:val="00DC3DD1"/>
    <w:rsid w:val="00DD3376"/>
    <w:rsid w:val="00DD61F9"/>
    <w:rsid w:val="00DE6FB6"/>
    <w:rsid w:val="00DF07CB"/>
    <w:rsid w:val="00DF5492"/>
    <w:rsid w:val="00DF57EB"/>
    <w:rsid w:val="00E06EE8"/>
    <w:rsid w:val="00E158C2"/>
    <w:rsid w:val="00E2035D"/>
    <w:rsid w:val="00E225D7"/>
    <w:rsid w:val="00E23734"/>
    <w:rsid w:val="00E42B16"/>
    <w:rsid w:val="00E44E4F"/>
    <w:rsid w:val="00E51C1E"/>
    <w:rsid w:val="00E53411"/>
    <w:rsid w:val="00E744E9"/>
    <w:rsid w:val="00E74B53"/>
    <w:rsid w:val="00E7693D"/>
    <w:rsid w:val="00E8101B"/>
    <w:rsid w:val="00E81BCB"/>
    <w:rsid w:val="00E874FE"/>
    <w:rsid w:val="00E90EB6"/>
    <w:rsid w:val="00EA2124"/>
    <w:rsid w:val="00EA299E"/>
    <w:rsid w:val="00EA3E56"/>
    <w:rsid w:val="00EA4846"/>
    <w:rsid w:val="00EC705A"/>
    <w:rsid w:val="00ED21B5"/>
    <w:rsid w:val="00EE19FA"/>
    <w:rsid w:val="00EE442A"/>
    <w:rsid w:val="00EE4A01"/>
    <w:rsid w:val="00EE69BA"/>
    <w:rsid w:val="00EF165E"/>
    <w:rsid w:val="00EF225A"/>
    <w:rsid w:val="00F00F3D"/>
    <w:rsid w:val="00F06210"/>
    <w:rsid w:val="00F208FF"/>
    <w:rsid w:val="00F220B8"/>
    <w:rsid w:val="00F26A0E"/>
    <w:rsid w:val="00F30521"/>
    <w:rsid w:val="00F31480"/>
    <w:rsid w:val="00F34974"/>
    <w:rsid w:val="00F37361"/>
    <w:rsid w:val="00F374B5"/>
    <w:rsid w:val="00F41421"/>
    <w:rsid w:val="00F67181"/>
    <w:rsid w:val="00F83438"/>
    <w:rsid w:val="00FA1869"/>
    <w:rsid w:val="00FA3229"/>
    <w:rsid w:val="00FA5B23"/>
    <w:rsid w:val="00FA71A4"/>
    <w:rsid w:val="00FB2C42"/>
    <w:rsid w:val="00FB3EC3"/>
    <w:rsid w:val="00FC3B5F"/>
    <w:rsid w:val="00FE1895"/>
    <w:rsid w:val="00FE370C"/>
    <w:rsid w:val="00FE62ED"/>
    <w:rsid w:val="00FE7873"/>
    <w:rsid w:val="00FF4DDD"/>
    <w:rsid w:val="00FF6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536921"/>
  <w15:chartTrackingRefBased/>
  <w15:docId w15:val="{D946B612-ABDD-452A-812D-251DC87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C2A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014F30"/>
    <w:pPr>
      <w:spacing w:before="330" w:after="165" w:line="240" w:lineRule="auto"/>
      <w:outlineLvl w:val="2"/>
    </w:pPr>
    <w:rPr>
      <w:rFonts w:ascii="tondo" w:eastAsia="Times New Roman" w:hAnsi="tondo" w:cs="Times New Roman"/>
      <w:color w:val="1A1A1A"/>
      <w:spacing w:val="-15"/>
      <w:sz w:val="42"/>
      <w:szCs w:val="42"/>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1304F"/>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unhideWhenUsed/>
    <w:rsid w:val="00A130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14F30"/>
    <w:pPr>
      <w:ind w:left="720"/>
      <w:contextualSpacing/>
    </w:pPr>
  </w:style>
  <w:style w:type="character" w:customStyle="1" w:styleId="berschrift3Zchn">
    <w:name w:val="Überschrift 3 Zchn"/>
    <w:basedOn w:val="Absatz-Standardschriftart"/>
    <w:link w:val="berschrift3"/>
    <w:uiPriority w:val="9"/>
    <w:rsid w:val="00014F30"/>
    <w:rPr>
      <w:rFonts w:ascii="tondo" w:eastAsia="Times New Roman" w:hAnsi="tondo" w:cs="Times New Roman"/>
      <w:color w:val="1A1A1A"/>
      <w:spacing w:val="-15"/>
      <w:sz w:val="42"/>
      <w:szCs w:val="42"/>
      <w:lang w:eastAsia="de-DE"/>
    </w:rPr>
  </w:style>
  <w:style w:type="character" w:styleId="Hyperlink">
    <w:name w:val="Hyperlink"/>
    <w:basedOn w:val="Absatz-Standardschriftart"/>
    <w:uiPriority w:val="99"/>
    <w:unhideWhenUsed/>
    <w:rsid w:val="00EE69BA"/>
    <w:rPr>
      <w:color w:val="0563C1" w:themeColor="hyperlink"/>
      <w:u w:val="single"/>
    </w:rPr>
  </w:style>
  <w:style w:type="paragraph" w:styleId="Funotentext">
    <w:name w:val="footnote text"/>
    <w:basedOn w:val="Standard"/>
    <w:link w:val="FunotentextZchn"/>
    <w:uiPriority w:val="99"/>
    <w:semiHidden/>
    <w:unhideWhenUsed/>
    <w:rsid w:val="008505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058F"/>
    <w:rPr>
      <w:sz w:val="20"/>
      <w:szCs w:val="20"/>
    </w:rPr>
  </w:style>
  <w:style w:type="character" w:styleId="Funotenzeichen">
    <w:name w:val="footnote reference"/>
    <w:basedOn w:val="Absatz-Standardschriftart"/>
    <w:uiPriority w:val="99"/>
    <w:semiHidden/>
    <w:unhideWhenUsed/>
    <w:rsid w:val="0085058F"/>
    <w:rPr>
      <w:vertAlign w:val="superscript"/>
    </w:rPr>
  </w:style>
  <w:style w:type="paragraph" w:customStyle="1" w:styleId="Pa4">
    <w:name w:val="Pa4"/>
    <w:basedOn w:val="Default"/>
    <w:next w:val="Default"/>
    <w:uiPriority w:val="99"/>
    <w:rsid w:val="001C5FD4"/>
    <w:pPr>
      <w:spacing w:line="201" w:lineRule="atLeast"/>
    </w:pPr>
    <w:rPr>
      <w:rFonts w:ascii="ZineSansDis-BoldRoman" w:hAnsi="ZineSansDis-BoldRoman" w:cstheme="minorBidi"/>
      <w:color w:val="auto"/>
    </w:rPr>
  </w:style>
  <w:style w:type="character" w:styleId="Kommentarzeichen">
    <w:name w:val="annotation reference"/>
    <w:basedOn w:val="Absatz-Standardschriftart"/>
    <w:uiPriority w:val="99"/>
    <w:semiHidden/>
    <w:unhideWhenUsed/>
    <w:rsid w:val="006D5C7E"/>
    <w:rPr>
      <w:sz w:val="16"/>
      <w:szCs w:val="16"/>
    </w:rPr>
  </w:style>
  <w:style w:type="paragraph" w:styleId="Kommentartext">
    <w:name w:val="annotation text"/>
    <w:basedOn w:val="Standard"/>
    <w:link w:val="KommentartextZchn"/>
    <w:uiPriority w:val="99"/>
    <w:semiHidden/>
    <w:unhideWhenUsed/>
    <w:rsid w:val="006D5C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D5C7E"/>
    <w:rPr>
      <w:sz w:val="20"/>
      <w:szCs w:val="20"/>
    </w:rPr>
  </w:style>
  <w:style w:type="paragraph" w:styleId="Kommentarthema">
    <w:name w:val="annotation subject"/>
    <w:basedOn w:val="Kommentartext"/>
    <w:next w:val="Kommentartext"/>
    <w:link w:val="KommentarthemaZchn"/>
    <w:uiPriority w:val="99"/>
    <w:semiHidden/>
    <w:unhideWhenUsed/>
    <w:rsid w:val="006D5C7E"/>
    <w:rPr>
      <w:b/>
      <w:bCs/>
    </w:rPr>
  </w:style>
  <w:style w:type="character" w:customStyle="1" w:styleId="KommentarthemaZchn">
    <w:name w:val="Kommentarthema Zchn"/>
    <w:basedOn w:val="KommentartextZchn"/>
    <w:link w:val="Kommentarthema"/>
    <w:uiPriority w:val="99"/>
    <w:semiHidden/>
    <w:rsid w:val="006D5C7E"/>
    <w:rPr>
      <w:b/>
      <w:bCs/>
      <w:sz w:val="20"/>
      <w:szCs w:val="20"/>
    </w:rPr>
  </w:style>
  <w:style w:type="paragraph" w:styleId="Sprechblasentext">
    <w:name w:val="Balloon Text"/>
    <w:basedOn w:val="Standard"/>
    <w:link w:val="SprechblasentextZchn"/>
    <w:uiPriority w:val="99"/>
    <w:semiHidden/>
    <w:unhideWhenUsed/>
    <w:rsid w:val="006D5C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5C7E"/>
    <w:rPr>
      <w:rFonts w:ascii="Segoe UI" w:hAnsi="Segoe UI" w:cs="Segoe UI"/>
      <w:sz w:val="18"/>
      <w:szCs w:val="18"/>
    </w:rPr>
  </w:style>
  <w:style w:type="table" w:styleId="Tabellenraster">
    <w:name w:val="Table Grid"/>
    <w:basedOn w:val="NormaleTabelle"/>
    <w:uiPriority w:val="59"/>
    <w:rsid w:val="006D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D5C7E"/>
    <w:rPr>
      <w:color w:val="808080"/>
    </w:rPr>
  </w:style>
  <w:style w:type="character" w:customStyle="1" w:styleId="berschrift2Zchn">
    <w:name w:val="Überschrift 2 Zchn"/>
    <w:basedOn w:val="Absatz-Standardschriftart"/>
    <w:link w:val="berschrift2"/>
    <w:uiPriority w:val="9"/>
    <w:rsid w:val="006C2AD3"/>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9B60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600B"/>
  </w:style>
  <w:style w:type="paragraph" w:styleId="Fuzeile">
    <w:name w:val="footer"/>
    <w:basedOn w:val="Standard"/>
    <w:link w:val="FuzeileZchn"/>
    <w:uiPriority w:val="99"/>
    <w:unhideWhenUsed/>
    <w:rsid w:val="009B60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600B"/>
  </w:style>
  <w:style w:type="character" w:styleId="BesuchterLink">
    <w:name w:val="FollowedHyperlink"/>
    <w:basedOn w:val="Absatz-Standardschriftart"/>
    <w:uiPriority w:val="99"/>
    <w:semiHidden/>
    <w:unhideWhenUsed/>
    <w:rsid w:val="00313641"/>
    <w:rPr>
      <w:color w:val="954F72" w:themeColor="followedHyperlink"/>
      <w:u w:val="single"/>
    </w:rPr>
  </w:style>
  <w:style w:type="character" w:styleId="NichtaufgelsteErwhnung">
    <w:name w:val="Unresolved Mention"/>
    <w:basedOn w:val="Absatz-Standardschriftart"/>
    <w:uiPriority w:val="99"/>
    <w:semiHidden/>
    <w:unhideWhenUsed/>
    <w:rsid w:val="0044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7017">
      <w:bodyDiv w:val="1"/>
      <w:marLeft w:val="0"/>
      <w:marRight w:val="0"/>
      <w:marTop w:val="0"/>
      <w:marBottom w:val="0"/>
      <w:divBdr>
        <w:top w:val="none" w:sz="0" w:space="0" w:color="auto"/>
        <w:left w:val="none" w:sz="0" w:space="0" w:color="auto"/>
        <w:bottom w:val="none" w:sz="0" w:space="0" w:color="auto"/>
        <w:right w:val="none" w:sz="0" w:space="0" w:color="auto"/>
      </w:divBdr>
      <w:divsChild>
        <w:div w:id="1643195342">
          <w:marLeft w:val="0"/>
          <w:marRight w:val="0"/>
          <w:marTop w:val="0"/>
          <w:marBottom w:val="0"/>
          <w:divBdr>
            <w:top w:val="none" w:sz="0" w:space="0" w:color="auto"/>
            <w:left w:val="none" w:sz="0" w:space="0" w:color="auto"/>
            <w:bottom w:val="none" w:sz="0" w:space="0" w:color="auto"/>
            <w:right w:val="none" w:sz="0" w:space="0" w:color="auto"/>
          </w:divBdr>
          <w:divsChild>
            <w:div w:id="533268850">
              <w:marLeft w:val="0"/>
              <w:marRight w:val="0"/>
              <w:marTop w:val="0"/>
              <w:marBottom w:val="0"/>
              <w:divBdr>
                <w:top w:val="none" w:sz="0" w:space="0" w:color="auto"/>
                <w:left w:val="none" w:sz="0" w:space="0" w:color="auto"/>
                <w:bottom w:val="none" w:sz="0" w:space="0" w:color="auto"/>
                <w:right w:val="none" w:sz="0" w:space="0" w:color="auto"/>
              </w:divBdr>
              <w:divsChild>
                <w:div w:id="1146775103">
                  <w:marLeft w:val="0"/>
                  <w:marRight w:val="0"/>
                  <w:marTop w:val="0"/>
                  <w:marBottom w:val="0"/>
                  <w:divBdr>
                    <w:top w:val="none" w:sz="0" w:space="0" w:color="auto"/>
                    <w:left w:val="none" w:sz="0" w:space="0" w:color="auto"/>
                    <w:bottom w:val="none" w:sz="0" w:space="0" w:color="auto"/>
                    <w:right w:val="none" w:sz="0" w:space="0" w:color="auto"/>
                  </w:divBdr>
                  <w:divsChild>
                    <w:div w:id="2070423566">
                      <w:marLeft w:val="0"/>
                      <w:marRight w:val="0"/>
                      <w:marTop w:val="0"/>
                      <w:marBottom w:val="0"/>
                      <w:divBdr>
                        <w:top w:val="none" w:sz="0" w:space="0" w:color="auto"/>
                        <w:left w:val="none" w:sz="0" w:space="0" w:color="auto"/>
                        <w:bottom w:val="none" w:sz="0" w:space="0" w:color="auto"/>
                        <w:right w:val="none" w:sz="0" w:space="0" w:color="auto"/>
                      </w:divBdr>
                      <w:divsChild>
                        <w:div w:id="1778987768">
                          <w:marLeft w:val="0"/>
                          <w:marRight w:val="0"/>
                          <w:marTop w:val="0"/>
                          <w:marBottom w:val="330"/>
                          <w:divBdr>
                            <w:top w:val="none" w:sz="0" w:space="0" w:color="auto"/>
                            <w:left w:val="none" w:sz="0" w:space="0" w:color="auto"/>
                            <w:bottom w:val="none" w:sz="0" w:space="0" w:color="auto"/>
                            <w:right w:val="none" w:sz="0" w:space="0" w:color="auto"/>
                          </w:divBdr>
                          <w:divsChild>
                            <w:div w:id="155265113">
                              <w:marLeft w:val="0"/>
                              <w:marRight w:val="0"/>
                              <w:marTop w:val="0"/>
                              <w:marBottom w:val="0"/>
                              <w:divBdr>
                                <w:top w:val="none" w:sz="0" w:space="0" w:color="auto"/>
                                <w:left w:val="none" w:sz="0" w:space="0" w:color="auto"/>
                                <w:bottom w:val="none" w:sz="0" w:space="0" w:color="auto"/>
                                <w:right w:val="none" w:sz="0" w:space="0" w:color="auto"/>
                              </w:divBdr>
                              <w:divsChild>
                                <w:div w:id="12472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48748">
      <w:bodyDiv w:val="1"/>
      <w:marLeft w:val="0"/>
      <w:marRight w:val="0"/>
      <w:marTop w:val="0"/>
      <w:marBottom w:val="0"/>
      <w:divBdr>
        <w:top w:val="none" w:sz="0" w:space="0" w:color="auto"/>
        <w:left w:val="none" w:sz="0" w:space="0" w:color="auto"/>
        <w:bottom w:val="none" w:sz="0" w:space="0" w:color="auto"/>
        <w:right w:val="none" w:sz="0" w:space="0" w:color="auto"/>
      </w:divBdr>
      <w:divsChild>
        <w:div w:id="782724394">
          <w:marLeft w:val="0"/>
          <w:marRight w:val="0"/>
          <w:marTop w:val="0"/>
          <w:marBottom w:val="0"/>
          <w:divBdr>
            <w:top w:val="none" w:sz="0" w:space="0" w:color="auto"/>
            <w:left w:val="none" w:sz="0" w:space="0" w:color="auto"/>
            <w:bottom w:val="none" w:sz="0" w:space="0" w:color="auto"/>
            <w:right w:val="none" w:sz="0" w:space="0" w:color="auto"/>
          </w:divBdr>
          <w:divsChild>
            <w:div w:id="361975681">
              <w:marLeft w:val="0"/>
              <w:marRight w:val="0"/>
              <w:marTop w:val="0"/>
              <w:marBottom w:val="0"/>
              <w:divBdr>
                <w:top w:val="none" w:sz="0" w:space="0" w:color="auto"/>
                <w:left w:val="none" w:sz="0" w:space="0" w:color="auto"/>
                <w:bottom w:val="none" w:sz="0" w:space="0" w:color="auto"/>
                <w:right w:val="none" w:sz="0" w:space="0" w:color="auto"/>
              </w:divBdr>
              <w:divsChild>
                <w:div w:id="778764635">
                  <w:marLeft w:val="0"/>
                  <w:marRight w:val="0"/>
                  <w:marTop w:val="0"/>
                  <w:marBottom w:val="0"/>
                  <w:divBdr>
                    <w:top w:val="none" w:sz="0" w:space="0" w:color="auto"/>
                    <w:left w:val="none" w:sz="0" w:space="0" w:color="auto"/>
                    <w:bottom w:val="none" w:sz="0" w:space="0" w:color="auto"/>
                    <w:right w:val="none" w:sz="0" w:space="0" w:color="auto"/>
                  </w:divBdr>
                  <w:divsChild>
                    <w:div w:id="1619683647">
                      <w:marLeft w:val="0"/>
                      <w:marRight w:val="0"/>
                      <w:marTop w:val="0"/>
                      <w:marBottom w:val="0"/>
                      <w:divBdr>
                        <w:top w:val="none" w:sz="0" w:space="0" w:color="auto"/>
                        <w:left w:val="none" w:sz="0" w:space="0" w:color="auto"/>
                        <w:bottom w:val="none" w:sz="0" w:space="0" w:color="auto"/>
                        <w:right w:val="none" w:sz="0" w:space="0" w:color="auto"/>
                      </w:divBdr>
                      <w:divsChild>
                        <w:div w:id="2142577932">
                          <w:marLeft w:val="0"/>
                          <w:marRight w:val="0"/>
                          <w:marTop w:val="0"/>
                          <w:marBottom w:val="330"/>
                          <w:divBdr>
                            <w:top w:val="none" w:sz="0" w:space="0" w:color="auto"/>
                            <w:left w:val="none" w:sz="0" w:space="0" w:color="auto"/>
                            <w:bottom w:val="none" w:sz="0" w:space="0" w:color="auto"/>
                            <w:right w:val="none" w:sz="0" w:space="0" w:color="auto"/>
                          </w:divBdr>
                          <w:divsChild>
                            <w:div w:id="727844117">
                              <w:marLeft w:val="0"/>
                              <w:marRight w:val="0"/>
                              <w:marTop w:val="0"/>
                              <w:marBottom w:val="0"/>
                              <w:divBdr>
                                <w:top w:val="none" w:sz="0" w:space="0" w:color="auto"/>
                                <w:left w:val="none" w:sz="0" w:space="0" w:color="auto"/>
                                <w:bottom w:val="none" w:sz="0" w:space="0" w:color="auto"/>
                                <w:right w:val="none" w:sz="0" w:space="0" w:color="auto"/>
                              </w:divBdr>
                              <w:divsChild>
                                <w:div w:id="20497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227998">
      <w:bodyDiv w:val="1"/>
      <w:marLeft w:val="0"/>
      <w:marRight w:val="0"/>
      <w:marTop w:val="0"/>
      <w:marBottom w:val="0"/>
      <w:divBdr>
        <w:top w:val="none" w:sz="0" w:space="0" w:color="auto"/>
        <w:left w:val="none" w:sz="0" w:space="0" w:color="auto"/>
        <w:bottom w:val="none" w:sz="0" w:space="0" w:color="auto"/>
        <w:right w:val="none" w:sz="0" w:space="0" w:color="auto"/>
      </w:divBdr>
    </w:div>
    <w:div w:id="494565103">
      <w:bodyDiv w:val="1"/>
      <w:marLeft w:val="0"/>
      <w:marRight w:val="0"/>
      <w:marTop w:val="0"/>
      <w:marBottom w:val="0"/>
      <w:divBdr>
        <w:top w:val="none" w:sz="0" w:space="0" w:color="auto"/>
        <w:left w:val="none" w:sz="0" w:space="0" w:color="auto"/>
        <w:bottom w:val="none" w:sz="0" w:space="0" w:color="auto"/>
        <w:right w:val="none" w:sz="0" w:space="0" w:color="auto"/>
      </w:divBdr>
    </w:div>
    <w:div w:id="779879810">
      <w:bodyDiv w:val="1"/>
      <w:marLeft w:val="0"/>
      <w:marRight w:val="0"/>
      <w:marTop w:val="0"/>
      <w:marBottom w:val="0"/>
      <w:divBdr>
        <w:top w:val="none" w:sz="0" w:space="0" w:color="auto"/>
        <w:left w:val="none" w:sz="0" w:space="0" w:color="auto"/>
        <w:bottom w:val="none" w:sz="0" w:space="0" w:color="auto"/>
        <w:right w:val="none" w:sz="0" w:space="0" w:color="auto"/>
      </w:divBdr>
      <w:divsChild>
        <w:div w:id="2083140362">
          <w:marLeft w:val="0"/>
          <w:marRight w:val="0"/>
          <w:marTop w:val="0"/>
          <w:marBottom w:val="0"/>
          <w:divBdr>
            <w:top w:val="none" w:sz="0" w:space="0" w:color="auto"/>
            <w:left w:val="none" w:sz="0" w:space="0" w:color="auto"/>
            <w:bottom w:val="none" w:sz="0" w:space="0" w:color="auto"/>
            <w:right w:val="none" w:sz="0" w:space="0" w:color="auto"/>
          </w:divBdr>
          <w:divsChild>
            <w:div w:id="744448777">
              <w:marLeft w:val="0"/>
              <w:marRight w:val="0"/>
              <w:marTop w:val="0"/>
              <w:marBottom w:val="0"/>
              <w:divBdr>
                <w:top w:val="none" w:sz="0" w:space="0" w:color="auto"/>
                <w:left w:val="none" w:sz="0" w:space="0" w:color="auto"/>
                <w:bottom w:val="none" w:sz="0" w:space="0" w:color="auto"/>
                <w:right w:val="none" w:sz="0" w:space="0" w:color="auto"/>
              </w:divBdr>
              <w:divsChild>
                <w:div w:id="485629341">
                  <w:marLeft w:val="0"/>
                  <w:marRight w:val="0"/>
                  <w:marTop w:val="0"/>
                  <w:marBottom w:val="0"/>
                  <w:divBdr>
                    <w:top w:val="none" w:sz="0" w:space="0" w:color="auto"/>
                    <w:left w:val="none" w:sz="0" w:space="0" w:color="auto"/>
                    <w:bottom w:val="none" w:sz="0" w:space="0" w:color="auto"/>
                    <w:right w:val="none" w:sz="0" w:space="0" w:color="auto"/>
                  </w:divBdr>
                  <w:divsChild>
                    <w:div w:id="1112745317">
                      <w:marLeft w:val="0"/>
                      <w:marRight w:val="0"/>
                      <w:marTop w:val="0"/>
                      <w:marBottom w:val="0"/>
                      <w:divBdr>
                        <w:top w:val="none" w:sz="0" w:space="0" w:color="auto"/>
                        <w:left w:val="none" w:sz="0" w:space="0" w:color="auto"/>
                        <w:bottom w:val="none" w:sz="0" w:space="0" w:color="auto"/>
                        <w:right w:val="none" w:sz="0" w:space="0" w:color="auto"/>
                      </w:divBdr>
                      <w:divsChild>
                        <w:div w:id="154424037">
                          <w:marLeft w:val="0"/>
                          <w:marRight w:val="0"/>
                          <w:marTop w:val="0"/>
                          <w:marBottom w:val="330"/>
                          <w:divBdr>
                            <w:top w:val="none" w:sz="0" w:space="0" w:color="auto"/>
                            <w:left w:val="none" w:sz="0" w:space="0" w:color="auto"/>
                            <w:bottom w:val="none" w:sz="0" w:space="0" w:color="auto"/>
                            <w:right w:val="none" w:sz="0" w:space="0" w:color="auto"/>
                          </w:divBdr>
                          <w:divsChild>
                            <w:div w:id="346372994">
                              <w:marLeft w:val="0"/>
                              <w:marRight w:val="0"/>
                              <w:marTop w:val="0"/>
                              <w:marBottom w:val="0"/>
                              <w:divBdr>
                                <w:top w:val="none" w:sz="0" w:space="0" w:color="auto"/>
                                <w:left w:val="none" w:sz="0" w:space="0" w:color="auto"/>
                                <w:bottom w:val="none" w:sz="0" w:space="0" w:color="auto"/>
                                <w:right w:val="none" w:sz="0" w:space="0" w:color="auto"/>
                              </w:divBdr>
                              <w:divsChild>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049404">
      <w:bodyDiv w:val="1"/>
      <w:marLeft w:val="0"/>
      <w:marRight w:val="0"/>
      <w:marTop w:val="150"/>
      <w:marBottom w:val="0"/>
      <w:divBdr>
        <w:top w:val="none" w:sz="0" w:space="0" w:color="auto"/>
        <w:left w:val="none" w:sz="0" w:space="0" w:color="auto"/>
        <w:bottom w:val="none" w:sz="0" w:space="0" w:color="auto"/>
        <w:right w:val="none" w:sz="0" w:space="0" w:color="auto"/>
      </w:divBdr>
      <w:divsChild>
        <w:div w:id="2015691882">
          <w:marLeft w:val="0"/>
          <w:marRight w:val="0"/>
          <w:marTop w:val="0"/>
          <w:marBottom w:val="0"/>
          <w:divBdr>
            <w:top w:val="single" w:sz="2" w:space="0" w:color="D8D8D8"/>
            <w:left w:val="single" w:sz="2" w:space="0" w:color="D8D8D8"/>
            <w:bottom w:val="single" w:sz="2" w:space="0" w:color="D8D8D8"/>
            <w:right w:val="single" w:sz="2" w:space="0" w:color="D8D8D8"/>
          </w:divBdr>
          <w:divsChild>
            <w:div w:id="930892538">
              <w:marLeft w:val="0"/>
              <w:marRight w:val="0"/>
              <w:marTop w:val="0"/>
              <w:marBottom w:val="0"/>
              <w:divBdr>
                <w:top w:val="single" w:sz="2" w:space="0" w:color="000000"/>
                <w:left w:val="single" w:sz="2" w:space="0" w:color="000000"/>
                <w:bottom w:val="single" w:sz="2" w:space="0" w:color="000000"/>
                <w:right w:val="single" w:sz="2" w:space="0" w:color="000000"/>
              </w:divBdr>
              <w:divsChild>
                <w:div w:id="1326475313">
                  <w:marLeft w:val="0"/>
                  <w:marRight w:val="0"/>
                  <w:marTop w:val="0"/>
                  <w:marBottom w:val="0"/>
                  <w:divBdr>
                    <w:top w:val="single" w:sz="48" w:space="0" w:color="FFFFFF"/>
                    <w:left w:val="none" w:sz="0" w:space="0" w:color="auto"/>
                    <w:bottom w:val="none" w:sz="0" w:space="0" w:color="auto"/>
                    <w:right w:val="single" w:sz="2" w:space="0" w:color="C1C1C1"/>
                  </w:divBdr>
                  <w:divsChild>
                    <w:div w:id="144667985">
                      <w:marLeft w:val="150"/>
                      <w:marRight w:val="150"/>
                      <w:marTop w:val="450"/>
                      <w:marBottom w:val="0"/>
                      <w:divBdr>
                        <w:top w:val="single" w:sz="2" w:space="0" w:color="999999"/>
                        <w:left w:val="single" w:sz="2" w:space="0" w:color="999999"/>
                        <w:bottom w:val="single" w:sz="2" w:space="0" w:color="999999"/>
                        <w:right w:val="single" w:sz="2" w:space="0" w:color="999999"/>
                      </w:divBdr>
                      <w:divsChild>
                        <w:div w:id="20150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4479">
      <w:bodyDiv w:val="1"/>
      <w:marLeft w:val="0"/>
      <w:marRight w:val="0"/>
      <w:marTop w:val="0"/>
      <w:marBottom w:val="0"/>
      <w:divBdr>
        <w:top w:val="none" w:sz="0" w:space="0" w:color="auto"/>
        <w:left w:val="none" w:sz="0" w:space="0" w:color="auto"/>
        <w:bottom w:val="none" w:sz="0" w:space="0" w:color="auto"/>
        <w:right w:val="none" w:sz="0" w:space="0" w:color="auto"/>
      </w:divBdr>
    </w:div>
    <w:div w:id="1522620826">
      <w:bodyDiv w:val="1"/>
      <w:marLeft w:val="0"/>
      <w:marRight w:val="0"/>
      <w:marTop w:val="0"/>
      <w:marBottom w:val="0"/>
      <w:divBdr>
        <w:top w:val="none" w:sz="0" w:space="0" w:color="auto"/>
        <w:left w:val="none" w:sz="0" w:space="0" w:color="auto"/>
        <w:bottom w:val="none" w:sz="0" w:space="0" w:color="auto"/>
        <w:right w:val="none" w:sz="0" w:space="0" w:color="auto"/>
      </w:divBdr>
    </w:div>
    <w:div w:id="1545870047">
      <w:bodyDiv w:val="1"/>
      <w:marLeft w:val="0"/>
      <w:marRight w:val="0"/>
      <w:marTop w:val="0"/>
      <w:marBottom w:val="0"/>
      <w:divBdr>
        <w:top w:val="none" w:sz="0" w:space="0" w:color="auto"/>
        <w:left w:val="none" w:sz="0" w:space="0" w:color="auto"/>
        <w:bottom w:val="none" w:sz="0" w:space="0" w:color="auto"/>
        <w:right w:val="none" w:sz="0" w:space="0" w:color="auto"/>
      </w:divBdr>
    </w:div>
    <w:div w:id="1625113856">
      <w:bodyDiv w:val="1"/>
      <w:marLeft w:val="0"/>
      <w:marRight w:val="0"/>
      <w:marTop w:val="0"/>
      <w:marBottom w:val="0"/>
      <w:divBdr>
        <w:top w:val="none" w:sz="0" w:space="0" w:color="auto"/>
        <w:left w:val="none" w:sz="0" w:space="0" w:color="auto"/>
        <w:bottom w:val="none" w:sz="0" w:space="0" w:color="auto"/>
        <w:right w:val="none" w:sz="0" w:space="0" w:color="auto"/>
      </w:divBdr>
      <w:divsChild>
        <w:div w:id="1833328979">
          <w:marLeft w:val="0"/>
          <w:marRight w:val="0"/>
          <w:marTop w:val="0"/>
          <w:marBottom w:val="0"/>
          <w:divBdr>
            <w:top w:val="none" w:sz="0" w:space="0" w:color="auto"/>
            <w:left w:val="none" w:sz="0" w:space="0" w:color="auto"/>
            <w:bottom w:val="none" w:sz="0" w:space="0" w:color="auto"/>
            <w:right w:val="none" w:sz="0" w:space="0" w:color="auto"/>
          </w:divBdr>
          <w:divsChild>
            <w:div w:id="773792089">
              <w:marLeft w:val="0"/>
              <w:marRight w:val="0"/>
              <w:marTop w:val="0"/>
              <w:marBottom w:val="0"/>
              <w:divBdr>
                <w:top w:val="none" w:sz="0" w:space="0" w:color="auto"/>
                <w:left w:val="none" w:sz="0" w:space="0" w:color="auto"/>
                <w:bottom w:val="none" w:sz="0" w:space="0" w:color="auto"/>
                <w:right w:val="none" w:sz="0" w:space="0" w:color="auto"/>
              </w:divBdr>
              <w:divsChild>
                <w:div w:id="1384327969">
                  <w:marLeft w:val="0"/>
                  <w:marRight w:val="0"/>
                  <w:marTop w:val="0"/>
                  <w:marBottom w:val="0"/>
                  <w:divBdr>
                    <w:top w:val="none" w:sz="0" w:space="0" w:color="auto"/>
                    <w:left w:val="none" w:sz="0" w:space="0" w:color="auto"/>
                    <w:bottom w:val="none" w:sz="0" w:space="0" w:color="auto"/>
                    <w:right w:val="none" w:sz="0" w:space="0" w:color="auto"/>
                  </w:divBdr>
                  <w:divsChild>
                    <w:div w:id="109858176">
                      <w:marLeft w:val="0"/>
                      <w:marRight w:val="0"/>
                      <w:marTop w:val="0"/>
                      <w:marBottom w:val="0"/>
                      <w:divBdr>
                        <w:top w:val="none" w:sz="0" w:space="0" w:color="auto"/>
                        <w:left w:val="none" w:sz="0" w:space="0" w:color="auto"/>
                        <w:bottom w:val="none" w:sz="0" w:space="0" w:color="auto"/>
                        <w:right w:val="none" w:sz="0" w:space="0" w:color="auto"/>
                      </w:divBdr>
                      <w:divsChild>
                        <w:div w:id="1347246453">
                          <w:marLeft w:val="0"/>
                          <w:marRight w:val="0"/>
                          <w:marTop w:val="0"/>
                          <w:marBottom w:val="330"/>
                          <w:divBdr>
                            <w:top w:val="none" w:sz="0" w:space="0" w:color="auto"/>
                            <w:left w:val="none" w:sz="0" w:space="0" w:color="auto"/>
                            <w:bottom w:val="none" w:sz="0" w:space="0" w:color="auto"/>
                            <w:right w:val="none" w:sz="0" w:space="0" w:color="auto"/>
                          </w:divBdr>
                          <w:divsChild>
                            <w:div w:id="1182009100">
                              <w:marLeft w:val="0"/>
                              <w:marRight w:val="0"/>
                              <w:marTop w:val="0"/>
                              <w:marBottom w:val="0"/>
                              <w:divBdr>
                                <w:top w:val="none" w:sz="0" w:space="0" w:color="auto"/>
                                <w:left w:val="none" w:sz="0" w:space="0" w:color="auto"/>
                                <w:bottom w:val="none" w:sz="0" w:space="0" w:color="auto"/>
                                <w:right w:val="none" w:sz="0" w:space="0" w:color="auto"/>
                              </w:divBdr>
                              <w:divsChild>
                                <w:div w:id="661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957559">
      <w:bodyDiv w:val="1"/>
      <w:marLeft w:val="0"/>
      <w:marRight w:val="0"/>
      <w:marTop w:val="0"/>
      <w:marBottom w:val="0"/>
      <w:divBdr>
        <w:top w:val="none" w:sz="0" w:space="0" w:color="auto"/>
        <w:left w:val="none" w:sz="0" w:space="0" w:color="auto"/>
        <w:bottom w:val="none" w:sz="0" w:space="0" w:color="auto"/>
        <w:right w:val="none" w:sz="0" w:space="0" w:color="auto"/>
      </w:divBdr>
    </w:div>
    <w:div w:id="1679429538">
      <w:bodyDiv w:val="1"/>
      <w:marLeft w:val="0"/>
      <w:marRight w:val="0"/>
      <w:marTop w:val="0"/>
      <w:marBottom w:val="0"/>
      <w:divBdr>
        <w:top w:val="none" w:sz="0" w:space="0" w:color="auto"/>
        <w:left w:val="none" w:sz="0" w:space="0" w:color="auto"/>
        <w:bottom w:val="none" w:sz="0" w:space="0" w:color="auto"/>
        <w:right w:val="none" w:sz="0" w:space="0" w:color="auto"/>
      </w:divBdr>
      <w:divsChild>
        <w:div w:id="605775795">
          <w:marLeft w:val="0"/>
          <w:marRight w:val="0"/>
          <w:marTop w:val="0"/>
          <w:marBottom w:val="0"/>
          <w:divBdr>
            <w:top w:val="none" w:sz="0" w:space="0" w:color="auto"/>
            <w:left w:val="none" w:sz="0" w:space="0" w:color="auto"/>
            <w:bottom w:val="none" w:sz="0" w:space="0" w:color="auto"/>
            <w:right w:val="none" w:sz="0" w:space="0" w:color="auto"/>
          </w:divBdr>
          <w:divsChild>
            <w:div w:id="566040855">
              <w:marLeft w:val="0"/>
              <w:marRight w:val="0"/>
              <w:marTop w:val="0"/>
              <w:marBottom w:val="0"/>
              <w:divBdr>
                <w:top w:val="none" w:sz="0" w:space="0" w:color="auto"/>
                <w:left w:val="none" w:sz="0" w:space="0" w:color="auto"/>
                <w:bottom w:val="none" w:sz="0" w:space="0" w:color="auto"/>
                <w:right w:val="none" w:sz="0" w:space="0" w:color="auto"/>
              </w:divBdr>
              <w:divsChild>
                <w:div w:id="1137721029">
                  <w:marLeft w:val="0"/>
                  <w:marRight w:val="0"/>
                  <w:marTop w:val="0"/>
                  <w:marBottom w:val="0"/>
                  <w:divBdr>
                    <w:top w:val="none" w:sz="0" w:space="0" w:color="auto"/>
                    <w:left w:val="none" w:sz="0" w:space="0" w:color="auto"/>
                    <w:bottom w:val="none" w:sz="0" w:space="0" w:color="auto"/>
                    <w:right w:val="none" w:sz="0" w:space="0" w:color="auto"/>
                  </w:divBdr>
                  <w:divsChild>
                    <w:div w:id="31923974">
                      <w:marLeft w:val="0"/>
                      <w:marRight w:val="0"/>
                      <w:marTop w:val="0"/>
                      <w:marBottom w:val="0"/>
                      <w:divBdr>
                        <w:top w:val="none" w:sz="0" w:space="0" w:color="auto"/>
                        <w:left w:val="none" w:sz="0" w:space="0" w:color="auto"/>
                        <w:bottom w:val="none" w:sz="0" w:space="0" w:color="auto"/>
                        <w:right w:val="none" w:sz="0" w:space="0" w:color="auto"/>
                      </w:divBdr>
                      <w:divsChild>
                        <w:div w:id="194511548">
                          <w:marLeft w:val="0"/>
                          <w:marRight w:val="0"/>
                          <w:marTop w:val="0"/>
                          <w:marBottom w:val="330"/>
                          <w:divBdr>
                            <w:top w:val="none" w:sz="0" w:space="0" w:color="auto"/>
                            <w:left w:val="none" w:sz="0" w:space="0" w:color="auto"/>
                            <w:bottom w:val="none" w:sz="0" w:space="0" w:color="auto"/>
                            <w:right w:val="none" w:sz="0" w:space="0" w:color="auto"/>
                          </w:divBdr>
                          <w:divsChild>
                            <w:div w:id="1768841588">
                              <w:marLeft w:val="0"/>
                              <w:marRight w:val="0"/>
                              <w:marTop w:val="0"/>
                              <w:marBottom w:val="0"/>
                              <w:divBdr>
                                <w:top w:val="none" w:sz="0" w:space="0" w:color="auto"/>
                                <w:left w:val="none" w:sz="0" w:space="0" w:color="auto"/>
                                <w:bottom w:val="none" w:sz="0" w:space="0" w:color="auto"/>
                                <w:right w:val="none" w:sz="0" w:space="0" w:color="auto"/>
                              </w:divBdr>
                            </w:div>
                            <w:div w:id="51123215">
                              <w:marLeft w:val="0"/>
                              <w:marRight w:val="0"/>
                              <w:marTop w:val="0"/>
                              <w:marBottom w:val="0"/>
                              <w:divBdr>
                                <w:top w:val="none" w:sz="0" w:space="0" w:color="auto"/>
                                <w:left w:val="none" w:sz="0" w:space="0" w:color="auto"/>
                                <w:bottom w:val="none" w:sz="0" w:space="0" w:color="auto"/>
                                <w:right w:val="none" w:sz="0" w:space="0" w:color="auto"/>
                              </w:divBdr>
                              <w:divsChild>
                                <w:div w:id="14022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149409">
      <w:bodyDiv w:val="1"/>
      <w:marLeft w:val="0"/>
      <w:marRight w:val="0"/>
      <w:marTop w:val="0"/>
      <w:marBottom w:val="0"/>
      <w:divBdr>
        <w:top w:val="none" w:sz="0" w:space="0" w:color="auto"/>
        <w:left w:val="none" w:sz="0" w:space="0" w:color="auto"/>
        <w:bottom w:val="none" w:sz="0" w:space="0" w:color="auto"/>
        <w:right w:val="none" w:sz="0" w:space="0" w:color="auto"/>
      </w:divBdr>
      <w:divsChild>
        <w:div w:id="13504186">
          <w:marLeft w:val="0"/>
          <w:marRight w:val="0"/>
          <w:marTop w:val="0"/>
          <w:marBottom w:val="0"/>
          <w:divBdr>
            <w:top w:val="none" w:sz="0" w:space="0" w:color="auto"/>
            <w:left w:val="none" w:sz="0" w:space="0" w:color="auto"/>
            <w:bottom w:val="none" w:sz="0" w:space="0" w:color="auto"/>
            <w:right w:val="none" w:sz="0" w:space="0" w:color="auto"/>
          </w:divBdr>
          <w:divsChild>
            <w:div w:id="1519151361">
              <w:marLeft w:val="0"/>
              <w:marRight w:val="0"/>
              <w:marTop w:val="0"/>
              <w:marBottom w:val="0"/>
              <w:divBdr>
                <w:top w:val="none" w:sz="0" w:space="0" w:color="auto"/>
                <w:left w:val="none" w:sz="0" w:space="0" w:color="auto"/>
                <w:bottom w:val="none" w:sz="0" w:space="0" w:color="auto"/>
                <w:right w:val="none" w:sz="0" w:space="0" w:color="auto"/>
              </w:divBdr>
              <w:divsChild>
                <w:div w:id="368183182">
                  <w:marLeft w:val="0"/>
                  <w:marRight w:val="0"/>
                  <w:marTop w:val="0"/>
                  <w:marBottom w:val="0"/>
                  <w:divBdr>
                    <w:top w:val="none" w:sz="0" w:space="0" w:color="auto"/>
                    <w:left w:val="none" w:sz="0" w:space="0" w:color="auto"/>
                    <w:bottom w:val="none" w:sz="0" w:space="0" w:color="auto"/>
                    <w:right w:val="none" w:sz="0" w:space="0" w:color="auto"/>
                  </w:divBdr>
                  <w:divsChild>
                    <w:div w:id="583685473">
                      <w:marLeft w:val="-225"/>
                      <w:marRight w:val="-225"/>
                      <w:marTop w:val="0"/>
                      <w:marBottom w:val="0"/>
                      <w:divBdr>
                        <w:top w:val="none" w:sz="0" w:space="0" w:color="auto"/>
                        <w:left w:val="none" w:sz="0" w:space="0" w:color="auto"/>
                        <w:bottom w:val="none" w:sz="0" w:space="0" w:color="auto"/>
                        <w:right w:val="none" w:sz="0" w:space="0" w:color="auto"/>
                      </w:divBdr>
                      <w:divsChild>
                        <w:div w:id="218790998">
                          <w:marLeft w:val="0"/>
                          <w:marRight w:val="0"/>
                          <w:marTop w:val="0"/>
                          <w:marBottom w:val="0"/>
                          <w:divBdr>
                            <w:top w:val="none" w:sz="0" w:space="0" w:color="auto"/>
                            <w:left w:val="none" w:sz="0" w:space="0" w:color="auto"/>
                            <w:bottom w:val="none" w:sz="0" w:space="0" w:color="auto"/>
                            <w:right w:val="none" w:sz="0" w:space="0" w:color="auto"/>
                          </w:divBdr>
                          <w:divsChild>
                            <w:div w:id="1425419464">
                              <w:marLeft w:val="0"/>
                              <w:marRight w:val="0"/>
                              <w:marTop w:val="0"/>
                              <w:marBottom w:val="0"/>
                              <w:divBdr>
                                <w:top w:val="none" w:sz="0" w:space="0" w:color="auto"/>
                                <w:left w:val="none" w:sz="0" w:space="0" w:color="auto"/>
                                <w:bottom w:val="none" w:sz="0" w:space="0" w:color="auto"/>
                                <w:right w:val="none" w:sz="0" w:space="0" w:color="auto"/>
                              </w:divBdr>
                              <w:divsChild>
                                <w:div w:id="1871797980">
                                  <w:marLeft w:val="0"/>
                                  <w:marRight w:val="0"/>
                                  <w:marTop w:val="0"/>
                                  <w:marBottom w:val="0"/>
                                  <w:divBdr>
                                    <w:top w:val="none" w:sz="0" w:space="0" w:color="auto"/>
                                    <w:left w:val="none" w:sz="0" w:space="0" w:color="auto"/>
                                    <w:bottom w:val="none" w:sz="0" w:space="0" w:color="auto"/>
                                    <w:right w:val="none" w:sz="0" w:space="0" w:color="auto"/>
                                  </w:divBdr>
                                  <w:divsChild>
                                    <w:div w:id="645402124">
                                      <w:marLeft w:val="0"/>
                                      <w:marRight w:val="0"/>
                                      <w:marTop w:val="0"/>
                                      <w:marBottom w:val="0"/>
                                      <w:divBdr>
                                        <w:top w:val="none" w:sz="0" w:space="0" w:color="auto"/>
                                        <w:left w:val="none" w:sz="0" w:space="0" w:color="auto"/>
                                        <w:bottom w:val="none" w:sz="0" w:space="0" w:color="auto"/>
                                        <w:right w:val="none" w:sz="0" w:space="0" w:color="auto"/>
                                      </w:divBdr>
                                      <w:divsChild>
                                        <w:div w:id="744648095">
                                          <w:marLeft w:val="0"/>
                                          <w:marRight w:val="0"/>
                                          <w:marTop w:val="0"/>
                                          <w:marBottom w:val="0"/>
                                          <w:divBdr>
                                            <w:top w:val="none" w:sz="0" w:space="0" w:color="auto"/>
                                            <w:left w:val="none" w:sz="0" w:space="0" w:color="auto"/>
                                            <w:bottom w:val="none" w:sz="0" w:space="0" w:color="auto"/>
                                            <w:right w:val="none" w:sz="0" w:space="0" w:color="auto"/>
                                          </w:divBdr>
                                          <w:divsChild>
                                            <w:div w:id="6686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519590">
      <w:bodyDiv w:val="1"/>
      <w:marLeft w:val="0"/>
      <w:marRight w:val="0"/>
      <w:marTop w:val="0"/>
      <w:marBottom w:val="0"/>
      <w:divBdr>
        <w:top w:val="none" w:sz="0" w:space="0" w:color="auto"/>
        <w:left w:val="none" w:sz="0" w:space="0" w:color="auto"/>
        <w:bottom w:val="none" w:sz="0" w:space="0" w:color="auto"/>
        <w:right w:val="none" w:sz="0" w:space="0" w:color="auto"/>
      </w:divBdr>
      <w:divsChild>
        <w:div w:id="369962434">
          <w:marLeft w:val="0"/>
          <w:marRight w:val="0"/>
          <w:marTop w:val="0"/>
          <w:marBottom w:val="0"/>
          <w:divBdr>
            <w:top w:val="none" w:sz="0" w:space="0" w:color="auto"/>
            <w:left w:val="none" w:sz="0" w:space="0" w:color="auto"/>
            <w:bottom w:val="none" w:sz="0" w:space="0" w:color="auto"/>
            <w:right w:val="none" w:sz="0" w:space="0" w:color="auto"/>
          </w:divBdr>
          <w:divsChild>
            <w:div w:id="1867450279">
              <w:marLeft w:val="0"/>
              <w:marRight w:val="0"/>
              <w:marTop w:val="0"/>
              <w:marBottom w:val="0"/>
              <w:divBdr>
                <w:top w:val="none" w:sz="0" w:space="0" w:color="auto"/>
                <w:left w:val="none" w:sz="0" w:space="0" w:color="auto"/>
                <w:bottom w:val="none" w:sz="0" w:space="0" w:color="auto"/>
                <w:right w:val="none" w:sz="0" w:space="0" w:color="auto"/>
              </w:divBdr>
              <w:divsChild>
                <w:div w:id="861625146">
                  <w:marLeft w:val="0"/>
                  <w:marRight w:val="0"/>
                  <w:marTop w:val="0"/>
                  <w:marBottom w:val="0"/>
                  <w:divBdr>
                    <w:top w:val="none" w:sz="0" w:space="0" w:color="auto"/>
                    <w:left w:val="none" w:sz="0" w:space="0" w:color="auto"/>
                    <w:bottom w:val="none" w:sz="0" w:space="0" w:color="auto"/>
                    <w:right w:val="none" w:sz="0" w:space="0" w:color="auto"/>
                  </w:divBdr>
                  <w:divsChild>
                    <w:div w:id="2101169722">
                      <w:marLeft w:val="0"/>
                      <w:marRight w:val="0"/>
                      <w:marTop w:val="0"/>
                      <w:marBottom w:val="0"/>
                      <w:divBdr>
                        <w:top w:val="none" w:sz="0" w:space="0" w:color="auto"/>
                        <w:left w:val="none" w:sz="0" w:space="0" w:color="auto"/>
                        <w:bottom w:val="none" w:sz="0" w:space="0" w:color="auto"/>
                        <w:right w:val="none" w:sz="0" w:space="0" w:color="auto"/>
                      </w:divBdr>
                      <w:divsChild>
                        <w:div w:id="1186486021">
                          <w:marLeft w:val="0"/>
                          <w:marRight w:val="0"/>
                          <w:marTop w:val="0"/>
                          <w:marBottom w:val="330"/>
                          <w:divBdr>
                            <w:top w:val="none" w:sz="0" w:space="0" w:color="auto"/>
                            <w:left w:val="none" w:sz="0" w:space="0" w:color="auto"/>
                            <w:bottom w:val="none" w:sz="0" w:space="0" w:color="auto"/>
                            <w:right w:val="none" w:sz="0" w:space="0" w:color="auto"/>
                          </w:divBdr>
                          <w:divsChild>
                            <w:div w:id="1986010806">
                              <w:marLeft w:val="0"/>
                              <w:marRight w:val="0"/>
                              <w:marTop w:val="0"/>
                              <w:marBottom w:val="0"/>
                              <w:divBdr>
                                <w:top w:val="none" w:sz="0" w:space="0" w:color="auto"/>
                                <w:left w:val="none" w:sz="0" w:space="0" w:color="auto"/>
                                <w:bottom w:val="none" w:sz="0" w:space="0" w:color="auto"/>
                                <w:right w:val="none" w:sz="0" w:space="0" w:color="auto"/>
                              </w:divBdr>
                              <w:divsChild>
                                <w:div w:id="11483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71924">
      <w:bodyDiv w:val="1"/>
      <w:marLeft w:val="0"/>
      <w:marRight w:val="0"/>
      <w:marTop w:val="0"/>
      <w:marBottom w:val="0"/>
      <w:divBdr>
        <w:top w:val="none" w:sz="0" w:space="0" w:color="auto"/>
        <w:left w:val="none" w:sz="0" w:space="0" w:color="auto"/>
        <w:bottom w:val="none" w:sz="0" w:space="0" w:color="auto"/>
        <w:right w:val="none" w:sz="0" w:space="0" w:color="auto"/>
      </w:divBdr>
    </w:div>
    <w:div w:id="20302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kv-buendnis.de/glossar/?no_cache=1&amp;filter=p&amp;name=Partizipation" TargetMode="External"/><Relationship Id="rId13" Type="http://schemas.openxmlformats.org/officeDocument/2006/relationships/hyperlink" Target="https://www.gkv-buendnis.de/gesunde_lebenswelten/gesunde_lebenswelten_ueberblick/ueberblic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undheitliche-chancengleichheit.de/fileadmin/user_upload/pdf/Good_Practice/21-08-30_Broschuere_Good_Practice-Kriterien_neu_barrierefrei_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kv-spitzenverband.de/krankenversicherung/praevention_selbsthilfe_beratung/praevention_und_bgf/leitfaden_praevention/leitfaden_praevention.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kv-buendnis.de/glossar/?no_cache=1&amp;filter=s&amp;name=Setting-Verantwortliche" TargetMode="External"/><Relationship Id="rId4" Type="http://schemas.openxmlformats.org/officeDocument/2006/relationships/settings" Target="settings.xml"/><Relationship Id="rId9" Type="http://schemas.openxmlformats.org/officeDocument/2006/relationships/hyperlink" Target="https://www.gkv-buendnis.de/glossar/?no_cache=1&amp;filter=n&amp;name=Nachhaltigkei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esundheitliche-chancengleichheit.de/fileadmin/user_upload/pdf/Good_Practice/21-08-30_Broschuere_Good_Practice-Kriterien_neu_barrierefrei_01.pdf" TargetMode="External"/><Relationship Id="rId1" Type="http://schemas.openxmlformats.org/officeDocument/2006/relationships/hyperlink" Target="https://www.gkv-spitzenverband.de/krankenversicherung/praevention_selbsthilfe_beratung/praevention_und_bgf/leitfaden_praevention/leitfaden_praevention.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954C-C888-497A-9034-A3681A87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7912</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SVLFG</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Baierl, Marion</dc:creator>
  <cp:keywords/>
  <dc:description/>
  <cp:lastModifiedBy>Schlag, Sandra</cp:lastModifiedBy>
  <cp:revision>16</cp:revision>
  <dcterms:created xsi:type="dcterms:W3CDTF">2023-09-12T16:00:00Z</dcterms:created>
  <dcterms:modified xsi:type="dcterms:W3CDTF">2025-12-11T08:56:00Z</dcterms:modified>
</cp:coreProperties>
</file>